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9"/>
        <w:ind w:left="0" w:firstLine="708"/>
        <w:jc w:val="both"/>
        <w:spacing w:after="0" w:line="276" w:lineRule="auto"/>
        <w:rPr>
          <w:sz w:val="18"/>
          <w:szCs w:val="18"/>
          <w:highlight w:val="none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</w:t>
      </w:r>
      <w:r>
        <w:rPr>
          <w:sz w:val="18"/>
          <w:szCs w:val="18"/>
          <w:lang w:val="en-US"/>
        </w:rPr>
        <w:t xml:space="preserve">                                                                      </w:t>
      </w:r>
      <w:r>
        <w:rPr>
          <w:sz w:val="18"/>
          <w:szCs w:val="18"/>
        </w:rPr>
        <w:t xml:space="preserve"> </w:t>
      </w:r>
      <w:r>
        <w:t xml:space="preserve">ПОЯСНИТЕЛЬНАЯ ЗАПИСКА</w:t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pStyle w:val="959"/>
        <w:ind w:left="0" w:firstLine="708"/>
        <w:jc w:val="center"/>
        <w:spacing w:after="0" w:line="276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50"/>
        <w:jc w:val="both"/>
        <w:spacing w:line="276" w:lineRule="auto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28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  в феврале 2026 года.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0"/>
        <w:jc w:val="both"/>
        <w:spacing w:line="276" w:lineRule="auto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24</w:t>
      </w:r>
      <w:r>
        <w:rPr>
          <w:sz w:val="28"/>
          <w:szCs w:val="28"/>
        </w:rPr>
        <w:t xml:space="preserve"> декабря 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39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28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8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внесение изменений в доходную,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расходной части  и источники финансирования дефицита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5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Внесение изменений  в доходную часть бюджета Колыванского района Новосибирской области обусловлена принятием решения представительного орг</w:t>
      </w:r>
      <w:r>
        <w:rPr>
          <w:sz w:val="28"/>
          <w:szCs w:val="28"/>
        </w:rPr>
        <w:t xml:space="preserve">ана Колыванского района Новосибирской области о принятии полномочий  по дорожной деятельности с уровня поселений  на уровень района и отражения в доходной части бюджета Колыванского района суммы иных межбюджетных трансфертов, подлежащих перечислению из бюд</w:t>
      </w:r>
      <w:r>
        <w:rPr>
          <w:sz w:val="28"/>
          <w:szCs w:val="28"/>
        </w:rPr>
        <w:t xml:space="preserve">жетов муниципальных сельских поселений в бюджет Колыванского района на исполнение переданных полномочий на сумму </w:t>
      </w:r>
      <w:r>
        <w:rPr>
          <w:sz w:val="28"/>
          <w:szCs w:val="28"/>
        </w:rPr>
        <w:t xml:space="preserve">17551,3</w:t>
      </w:r>
      <w:r>
        <w:rPr>
          <w:sz w:val="28"/>
          <w:szCs w:val="28"/>
        </w:rPr>
        <w:t xml:space="preserve"> тысяч рублей. Данная сумма отражена  в приложении  по изменениям доходной части бюджета  к настоящей пояснительной записке  по КБК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szCs w:val="28"/>
          <w:u w:val="none"/>
        </w:rPr>
        <w:t xml:space="preserve">000 202 40014 05 0000 150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szCs w:val="28"/>
          <w:u w:val="none"/>
        </w:rPr>
        <w:t xml:space="preserve">«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szCs w:val="28"/>
          <w:u w:val="none"/>
        </w:rPr>
        <w:t xml:space="preserve">Иные межбюджетные трансферты передаваемые бюджетам муниципальных районов из бюджетов поселений на прочие мероприятия в сфере дорожной деятельности»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Изменения в    расходной части</w:t>
      </w:r>
      <w:r>
        <w:rPr>
          <w:sz w:val="28"/>
          <w:szCs w:val="28"/>
        </w:rPr>
        <w:t xml:space="preserve"> бюджета Колыванского района  связаны с отражением изменений бюджетных ассигнов</w:t>
      </w:r>
      <w:r>
        <w:rPr>
          <w:sz w:val="28"/>
          <w:szCs w:val="28"/>
        </w:rPr>
        <w:t xml:space="preserve">аний по внутреннему пере</w:t>
      </w:r>
      <w:r>
        <w:rPr>
          <w:sz w:val="28"/>
          <w:szCs w:val="28"/>
        </w:rPr>
        <w:t xml:space="preserve">распределению бюджетных ассигнований, в связи с началом   текущего финансового года и с целью соблюдения целевого направления бюджетных средств на основании служебных записок руководителей структурных подразделение и руководителей муниципальных учреждений.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Кроме того, за счет остатка на начала года и финансового обеспечения переданных полномочий по дорожной деятельности  предлагается дополнительное выделение бюджетных ассигнований на сумму  35511,7тысяч рублей.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том числе по основным направлениям: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Образование</w:t>
      </w:r>
      <w:r>
        <w:rPr>
          <w:sz w:val="28"/>
          <w:szCs w:val="28"/>
          <w:highlight w:val="none"/>
        </w:rPr>
        <w:t xml:space="preserve">-9659,8 тысяч рублей;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Национальная экономика  (в  том числе дорожная деятельность и переданные полномочия) </w:t>
      </w:r>
      <w:r>
        <w:rPr>
          <w:sz w:val="28"/>
          <w:szCs w:val="28"/>
          <w:highlight w:val="none"/>
        </w:rPr>
        <w:t xml:space="preserve">-19806,4 тысяч рублей;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Национальная безопасность-95,0 тысяч рублей;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ЖКХ</w:t>
      </w:r>
      <w:r>
        <w:rPr>
          <w:sz w:val="28"/>
          <w:szCs w:val="28"/>
          <w:highlight w:val="none"/>
        </w:rPr>
        <w:t xml:space="preserve">-1062,0 тысяч рублей</w:t>
      </w:r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Спорт-1598,0 тысяч рублей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Управление 3290,5 тысяч рублей. </w:t>
        <w:br/>
        <w:t xml:space="preserve">         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Также, в расходной части бюджета отражены иные межбюджетные трансферты для муниципальных поселений из бюджета Колыванского района на исполнение передаваемых полномочий по дорожной деятельности с уровня района на уровень поселений на сумму </w:t>
      </w:r>
      <w:r>
        <w:rPr>
          <w:sz w:val="28"/>
          <w:szCs w:val="28"/>
          <w:highlight w:val="none"/>
        </w:rPr>
        <w:t xml:space="preserve">    13 583,8 тысяч рублей.</w:t>
      </w:r>
      <w:r>
        <w:rPr>
          <w:sz w:val="28"/>
          <w:szCs w:val="28"/>
          <w:highlight w:val="none"/>
        </w:rPr>
      </w:r>
    </w:p>
    <w:p>
      <w:pPr>
        <w:ind w:firstLine="705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 Таким образом, с учетом всех изменений общий объем доходов на 2026 год   составит </w:t>
      </w:r>
      <w:r>
        <w:rPr>
          <w:sz w:val="28"/>
          <w:szCs w:val="28"/>
          <w:highlight w:val="none"/>
        </w:rPr>
        <w:t xml:space="preserve">2 386 930,0</w:t>
      </w:r>
      <w:r>
        <w:rPr>
          <w:sz w:val="28"/>
          <w:szCs w:val="28"/>
          <w:highlight w:val="none"/>
        </w:rPr>
        <w:t xml:space="preserve"> тысяч рублей</w:t>
      </w:r>
      <w:r>
        <w:rPr>
          <w:sz w:val="28"/>
          <w:szCs w:val="28"/>
          <w:highlight w:val="none"/>
        </w:rPr>
        <w:t xml:space="preserve">, общий объем расходов на 2026 год составит </w:t>
      </w:r>
      <w:r>
        <w:rPr>
          <w:rFonts w:ascii="Nimbus Roman" w:hAnsi="Nimbus Roman" w:eastAsia="Nimbus Roman" w:cs="Nimbus Roman"/>
          <w:b w:val="0"/>
          <w:bCs w:val="0"/>
          <w:i w:val="0"/>
          <w:strike w:val="0"/>
          <w:color w:val="000000"/>
          <w:sz w:val="28"/>
          <w:szCs w:val="28"/>
          <w:u w:val="none"/>
        </w:rPr>
        <w:t xml:space="preserve">2 424 890,4</w:t>
      </w:r>
      <w:r>
        <w:rPr>
          <w:b w:val="0"/>
          <w:bCs w:val="0"/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тысяч</w:t>
      </w:r>
      <w:r>
        <w:rPr>
          <w:sz w:val="28"/>
          <w:szCs w:val="28"/>
          <w:highlight w:val="none"/>
        </w:rPr>
        <w:t xml:space="preserve"> рублей , общий объем дефицита бюджета на 2026 год составит 37 960,4 </w:t>
      </w:r>
      <w:r>
        <w:rPr>
          <w:sz w:val="28"/>
          <w:szCs w:val="28"/>
          <w:highlight w:val="none"/>
        </w:rPr>
        <w:t xml:space="preserve">тысяч рублей, что не изменится и находится в пределах  допустимых значений согласно требованиям бюдже</w:t>
      </w:r>
      <w:r>
        <w:rPr>
          <w:sz w:val="28"/>
          <w:szCs w:val="28"/>
          <w:highlight w:val="none"/>
        </w:rPr>
        <w:t xml:space="preserve">тного законодательства.   Показатели планового периода не изменятся.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Задолженность по коммерческим кредитам отсутствует.</w:t>
      </w:r>
      <w:r>
        <w:rPr>
          <w:sz w:val="28"/>
          <w:szCs w:val="28"/>
          <w:highlight w:val="none"/>
        </w:rPr>
        <w:t xml:space="preserve"> Более подробная информация представлена в приложенных таблицах с настоящей пояснительной записке.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outlineLvl w:val="0"/>
      </w:pPr>
      <w:r>
        <w:rPr>
          <w:sz w:val="28"/>
          <w:szCs w:val="28"/>
          <w:highlight w:val="none"/>
        </w:rPr>
        <w:t xml:space="preserve">    </w:t>
      </w:r>
      <w:r>
        <w:rPr>
          <w:rFonts w:ascii="Nimbus Roman" w:hAnsi="Nimbus Roman" w:eastAsia="Nimbus Roman" w:cs="Nimbus Roman"/>
          <w:sz w:val="28"/>
          <w:szCs w:val="28"/>
          <w:highlight w:val="none"/>
        </w:rPr>
        <w:t xml:space="preserve"> Также в текстовую часть решения предлагается вести изменения и дополнения, связанные с выделением субсидии МУП «Коммунальное хозяйство»,внесены изменения в статью</w:t>
      </w:r>
      <w:r>
        <w:rPr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 5 решения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Особенности заключения и оплаты договоров (муниципальных контрактов)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в части предоставления авансовых платежей , а именно: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 размере до 100 процентов включительно цены договора (муниципального контракта) - по договорам (муниципальным контрактам):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 заключаемым с участниками закупок, являющимися учреждениями или предприятиями уголовно-исполнительной системы;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размере более 10 процентов ц</w:t>
      </w:r>
      <w:r>
        <w:rPr>
          <w:rFonts w:ascii="Times New Roman" w:hAnsi="Times New Roman" w:cs="Times New Roman"/>
          <w:sz w:val="28"/>
          <w:szCs w:val="28"/>
        </w:rPr>
        <w:t xml:space="preserve">ены договора  (муниципального контракта), авансовые платежи (расчеты) по которому не подлежат казначейскому сопровождению в соответствии со статьей 242.27 Бюджетного кодекса Российской Федерации ( за исключением договоров ( муниципальных контрактов) , указ</w:t>
      </w:r>
      <w:r>
        <w:rPr>
          <w:rFonts w:ascii="Times New Roman" w:hAnsi="Times New Roman" w:cs="Times New Roman"/>
          <w:sz w:val="28"/>
          <w:szCs w:val="28"/>
        </w:rPr>
        <w:t xml:space="preserve">анных  в подпунктах а) —м) пункта 1 настоящей части), и по договорам ( муниципальным контрактам) ценой менее 3 млн. рублей в соответствии с пунктами 1,2 статьи 5 настоящего решения- по распоряжению Администрации Колыванского района  Новосибирской области,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4) в размере до 10 процентов включительно цены договора (муниципального контракта)   если иное не предусмотрено федеральным законодательством, - по договорам (муниципальным контрактам), не указанным в пунктах 1 , 2 и 3 настоящей статьи.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5) установление размера аванса  более 10 процентов возможно при наличии в договоре ( муниципальном контракте )условия о казначейском сопровождении.»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left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 </w:t>
      </w:r>
      <w:r>
        <w:rPr>
          <w:b/>
          <w:bCs/>
          <w:sz w:val="28"/>
          <w:szCs w:val="28"/>
          <w:highlight w:val="none"/>
        </w:rPr>
        <w:t xml:space="preserve">Изменена статья 22 решения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Казначейское сопровождение», в связи с внесение изменений в областной Закон о бюджете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jc w:val="left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106"/>
        <w:ind w:right="140"/>
        <w:jc w:val="both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       «Установить, что казначейскому сопровожд</w:t>
      </w:r>
      <w:r>
        <w:rPr>
          <w:color w:val="000000"/>
          <w:sz w:val="28"/>
          <w:szCs w:val="28"/>
        </w:rPr>
        <w:t xml:space="preserve">ению подлежат следующие средства, получаемые юридическими лицами, индивидуальными предпринимателями, физическими лицами - производителями товаров, работ, услуг, за исключением средств, предусмотренных статьей 242.27 Бюджетного кодекса Российской Федерации:</w:t>
      </w:r>
      <w:r/>
    </w:p>
    <w:p>
      <w:pPr>
        <w:pStyle w:val="1107"/>
        <w:ind w:right="140"/>
        <w:jc w:val="both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1) авансовые платежи по  муниципальным  контрактам о поставке товаро</w:t>
      </w:r>
      <w:r>
        <w:rPr>
          <w:color w:val="000000"/>
          <w:sz w:val="28"/>
          <w:szCs w:val="28"/>
        </w:rPr>
        <w:t xml:space="preserve">в, выполнении работ, оказании услуг с начальной (максимальной ценой контракта 3 миллиона рублей и более , заключаемым получателями средств бюджета , размер авансовых платежей по которым составляет более 10 процентов начальной (максимальной) цены контракта;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107"/>
        <w:ind w:right="140"/>
        <w:jc w:val="both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        2) авансовые платежи по контрактам (договорам) о поставке товаров, выполнении работ, оказании услуг, заключаемым му</w:t>
      </w:r>
      <w:r>
        <w:rPr>
          <w:color w:val="000000"/>
          <w:sz w:val="28"/>
          <w:szCs w:val="28"/>
        </w:rPr>
        <w:t xml:space="preserve">ниципальными бюджетными и автономными учреждениями Колыванского муниципального района Новосибирской области с начальной (максимальной) ценой контракта </w:t>
      </w:r>
      <w:r>
        <w:rPr>
          <w:color w:val="000000"/>
          <w:sz w:val="28"/>
          <w:szCs w:val="28"/>
        </w:rPr>
        <w:t xml:space="preserve">3 миллиона рублей и более, размер авансовых платежей по которым составляет более 10 процентов начальной (максимальной) цены контракта (договора) , источником финансового обеспечения исполнения которых являются средства, предоставляемые из местного бюджета;</w:t>
      </w:r>
      <w:r/>
    </w:p>
    <w:p>
      <w:pPr>
        <w:pStyle w:val="1107"/>
        <w:ind w:right="140"/>
        <w:jc w:val="both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          3) авансовые платежи по контрактам (договорам)</w:t>
      </w:r>
      <w:r>
        <w:rPr>
          <w:color w:val="000000"/>
          <w:sz w:val="28"/>
          <w:szCs w:val="28"/>
        </w:rPr>
        <w:t xml:space="preserve"> о поставке товаров, выполнении работ, оказании услуг, заключаемым исполнителями и соисполнителями в рамках исполнения муниципальных контрактов, предусмотренных пунктом 1 настоящей статьи, контрактов (договоров), предусмотренных пунктом 2 настоящей статьи;</w:t>
      </w:r>
      <w:r/>
    </w:p>
    <w:p>
      <w:pPr>
        <w:pStyle w:val="1107"/>
        <w:ind w:right="140"/>
        <w:jc w:val="both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         4) бюджетные инвестиции юридическим лицам из местного бюджета, предоставляемые в соответствии со статьей 80 Бюджетного кодекса Российской Федерации;</w:t>
      </w:r>
      <w:r/>
    </w:p>
    <w:p>
      <w:pPr>
        <w:pStyle w:val="1107"/>
        <w:ind w:right="140"/>
        <w:jc w:val="both"/>
        <w:spacing w:before="0" w:beforeAutospacing="0" w:after="0" w:afterAutospacing="0"/>
      </w:pPr>
      <w:r>
        <w:t xml:space="preserve">           </w:t>
      </w:r>
      <w:r>
        <w:rPr>
          <w:color w:val="000000"/>
          <w:sz w:val="28"/>
          <w:szCs w:val="28"/>
        </w:rPr>
        <w:t xml:space="preserve">5) субсидии юридическим лицам, крестьянским (фермерским) хозяйствам, индивидуальным предпринимателям из местного бюджета (за исключением субсид</w:t>
      </w:r>
      <w:r>
        <w:rPr>
          <w:color w:val="000000"/>
          <w:sz w:val="28"/>
          <w:szCs w:val="28"/>
        </w:rPr>
        <w:t xml:space="preserve">ий из местного бюджета муниципальным бюджетным и автономным учреждениям Колыванского муниципального района Новосибирской области),  предоставляемые в порядке финансового обеспечения затрат в связи производством, товаров, выполнением работ, оказанием услуг </w:t>
      </w:r>
      <w:r>
        <w:rPr>
          <w:sz w:val="28"/>
          <w:szCs w:val="28"/>
        </w:rPr>
        <w:t xml:space="preserve">в случаях и порядке, которые установлены в соответствии с бюджетным законодательством Российской Федерации ( в сумме , указанной в пунктах 1 и 2 настоящей статьи) ;</w:t>
      </w:r>
      <w:r/>
    </w:p>
    <w:p>
      <w:pPr>
        <w:pStyle w:val="1107"/>
        <w:ind w:right="140"/>
        <w:jc w:val="both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         6) взносы в уставные (складочные) капиталы (вклады в имущество) юридических лиц (их дочерних обществ), источником финансового обеспечения исполнения которых являются субсидии и бюджетные инвестиции, указанные в пунктах 4 и 5 настоящей статьи;</w:t>
      </w:r>
      <w:r/>
    </w:p>
    <w:p>
      <w:pPr>
        <w:pStyle w:val="1107"/>
        <w:ind w:right="140"/>
        <w:jc w:val="both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           7) авансовые платежи по контрактам (договорам) о поставке товаров, выполнении работ, оказании услуг, заключаемым получателями субсидий и бюджетн</w:t>
      </w:r>
      <w:r>
        <w:rPr>
          <w:color w:val="000000"/>
          <w:sz w:val="28"/>
          <w:szCs w:val="28"/>
        </w:rPr>
        <w:t xml:space="preserve">ых инвестиций, указанных в пунктах 4 и 5 настоящей статьи, а также получателями взносов (вкладов), указанных в пункте 6 настоящей статьи, источником финансового обеспечения исполнения которых являются такие субсидии, бюджетные инвестиции и взносы (вклады);</w:t>
      </w:r>
      <w:r/>
    </w:p>
    <w:p>
      <w:pPr>
        <w:pStyle w:val="1107"/>
        <w:ind w:right="140"/>
        <w:jc w:val="both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8) аванс</w:t>
      </w:r>
      <w:r>
        <w:rPr>
          <w:color w:val="000000"/>
          <w:sz w:val="28"/>
          <w:szCs w:val="28"/>
        </w:rPr>
        <w:t xml:space="preserve">овые платежи, получаемые юридическими лицами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предусмотренных пунктом 7 настоящей статьи;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107"/>
        <w:ind w:right="140"/>
        <w:jc w:val="both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</w:rPr>
        <w:t xml:space="preserve">              9) средства, получаемые (полученные) уч</w:t>
      </w:r>
      <w:r>
        <w:rPr>
          <w:color w:val="000000"/>
          <w:sz w:val="28"/>
          <w:szCs w:val="28"/>
        </w:rPr>
        <w:t xml:space="preserve">а</w:t>
      </w:r>
      <w:r>
        <w:rPr>
          <w:color w:val="000000"/>
          <w:sz w:val="28"/>
          <w:szCs w:val="28"/>
        </w:rPr>
        <w:t xml:space="preserve">стниками казначейского сопровождения по муниципальным контрактам, контрактам (договорам) о поставке товаров, выполнении работ, оказании услуг, в случаях, установленных постановлениями Администрации Колыванского муниципального района Новосибирской области».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1107"/>
        <w:ind w:right="140"/>
        <w:jc w:val="both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1107"/>
        <w:ind w:right="140"/>
        <w:jc w:val="both"/>
        <w:spacing w:before="0" w:beforeAutospacing="0" w:after="0" w:afterAutospacing="0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Дополнена статья 24 решения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Особенности исполнения районного бюджета в 2026 году»</w:t>
      </w:r>
      <w:r>
        <w:rPr>
          <w:b/>
          <w:bCs/>
          <w:sz w:val="28"/>
          <w:szCs w:val="28"/>
        </w:rPr>
        <w:t xml:space="preserve"> пунктами 3,4,5,6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следующего содержания, в связи с внесение изменений  в областной Закон о бюджете</w:t>
      </w:r>
      <w:r>
        <w:rPr>
          <w:sz w:val="28"/>
          <w:szCs w:val="28"/>
        </w:rPr>
        <w:t xml:space="preserve"> 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50"/>
        <w:ind w:left="0" w:right="0" w:firstLine="540"/>
        <w:jc w:val="both"/>
        <w:spacing w:before="280" w:after="0" w:line="240" w:lineRule="auto"/>
      </w:pPr>
      <w:r>
        <w:rPr>
          <w:sz w:val="28"/>
          <w:szCs w:val="28"/>
          <w:highlight w:val="none"/>
        </w:rPr>
        <w:t xml:space="preserve">«</w:t>
      </w:r>
      <w:r>
        <w:rPr>
          <w:rFonts w:ascii="Nimbus Roman" w:hAnsi="Nimbus Roman" w:eastAsia="Nimbus Roman" w:cs="Nimbus Roman"/>
          <w:sz w:val="28"/>
          <w:szCs w:val="28"/>
          <w:highlight w:val="none"/>
        </w:rPr>
        <w:t xml:space="preserve">3. </w:t>
      </w:r>
      <w:r>
        <w:rPr>
          <w:rFonts w:ascii="Nimbus Roman" w:hAnsi="Nimbus Roman" w:eastAsia="Nimbus Roman" w:cs="Nimbus Roman"/>
          <w:color w:val="auto"/>
          <w:sz w:val="28"/>
          <w:szCs w:val="28"/>
        </w:rPr>
        <w:t xml:space="preserve">Установить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что в 2026 году при казначейском сопровождении средств, предоставляемых на основании контрактов (договоров), указанных в </w:t>
      </w:r>
      <w:r>
        <w:fldChar w:fldCharType="begin"/>
      </w:r>
      <w:r>
        <w:instrText xml:space="preserve"> HYPERLINK  \l "Par5" \n #Par5</w:instrText>
      </w:r>
      <w:r>
        <w:fldChar w:fldCharType="separate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пунктах 3</w:t>
      </w:r>
      <w:r>
        <w:fldChar w:fldCharType="end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fldChar w:fldCharType="begin"/>
      </w:r>
      <w:r>
        <w:instrText xml:space="preserve"> HYPERLINK  \l "Par9" \n #Par9</w:instrText>
      </w:r>
      <w:r>
        <w:fldChar w:fldCharType="separate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7</w:t>
      </w:r>
      <w:r>
        <w:fldChar w:fldCharType="end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>
        <w:fldChar w:fldCharType="begin"/>
      </w:r>
      <w:r>
        <w:instrText xml:space="preserve"> HYPERLINK  \l "Par11" \n #Par11</w:instrText>
      </w:r>
      <w:r>
        <w:fldChar w:fldCharType="separate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9 статьи 2</w:t>
      </w:r>
      <w:r>
        <w:fldChar w:fldCharType="end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2 решения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заключаемых в целях приобретения товаров в рамках исполнения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контрактов, контрактов (договоров), которые заключаются  муниципальными бюджетными и автономными учреждениями Колыванского района Новосибирской области (муниципальными бюджетными и автономными учреждениями, договоров (соглашений) о предоставлении субсидий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юридическим лицам, индивидуальным предпринимателям (за исключением субсидий государственным бюджетным и автономным учреждениям Новосибирской области (муниципальным бюджетным и автономным учреждениям)), в том числе субс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идии, предоставляемые в соответствии с концессионными соглашениями и соглашениями о государственно-частном партнерстве (муниципально-частном партнерстве), договоров о предоставлении бюджетных инвестиций юридическим лицам, предоставляемых в соответствии со </w:t>
      </w:r>
      <w:r>
        <w:fldChar w:fldCharType="begin"/>
      </w:r>
      <w:r>
        <w:instrText xml:space="preserve"> HYPERLINK "https://login.consultant.ru/link/?req=doc&amp;base=LAW&amp;n=511241&amp;dst=103142" \n https://login.consultant.ru/link/?req=doc&amp;base=LAW&amp;n=511241&amp;dst=103142</w:instrText>
      </w:r>
      <w:r>
        <w:fldChar w:fldCharType="separate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статьей 80</w:t>
      </w:r>
      <w:r>
        <w:fldChar w:fldCharType="end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Бюджетного кодекса Российской Федерации, бюджетных инвестиций в соответствии с концессионными соглашениями перечисление средств по таки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 контрактам (договорам) осуществляется в установленном федеральным законодательством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Новосибирско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й области,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Новосибирской области документов, подтверждающих поставку товаров.</w:t>
      </w:r>
      <w:r/>
    </w:p>
    <w:p>
      <w:pPr>
        <w:pStyle w:val="950"/>
        <w:ind w:left="0" w:right="0" w:firstLine="539"/>
        <w:jc w:val="both"/>
        <w:spacing w:before="0" w:after="0" w:line="240" w:lineRule="auto"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Установить, что в 2026 году при казначейском сопровождении средств перечисление авансовых платежей по контрактам (договорам), указанным в пункте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настоящей статьи, заключаемым в цел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льного строительства, осуществляется в установленном федеральным законодательством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Новосибирской 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бласти,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нтами реставрации, техническое перевооружение), капитальный ремонт объектов капитального строительства, представленного в Управление Федерального казначейства по Новосибирской области в порядке и по форме, которые установлены федеральным законодательством.</w:t>
      </w:r>
      <w:r/>
    </w:p>
    <w:p>
      <w:pPr>
        <w:pStyle w:val="950"/>
        <w:ind w:left="0" w:right="0" w:firstLine="540"/>
        <w:jc w:val="both"/>
        <w:spacing w:before="0" w:after="0" w:line="240" w:lineRule="auto"/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5. Перечисление средств в порядке, предусмотренном </w:t>
      </w:r>
      <w:r>
        <w:fldChar w:fldCharType="begin"/>
      </w:r>
      <w:r>
        <w:instrText xml:space="preserve"> HYPERLINK "https://login.consultant.ru/link/?req=doc&amp;base=PRJ&amp;n=267093&amp;dst=100110" \n https://login.consultant.ru/link/?req=doc&amp;base=PRJ&amp;n=267093&amp;dst=100110</w:instrText>
      </w:r>
      <w:r>
        <w:fldChar w:fldCharType="separate"/>
        <w:t xml:space="preserve">пунктом 4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настоящей статьи</w:t>
      </w:r>
      <w:r>
        <w:fldChar w:fldCharType="end"/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поставщикам строительных материалов и оборудования, включенных в перечень строительных материалов и оборудования,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утвержденный Министерством строительства и жилищно-коммунального хозяйства Российской Федерации, допускается при условии приобретения таких строительных материалов и оборудования на организованных торгах, проводимых организаторами торговли, или посредством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осуществления закупки в электронной форме на электронной площадке (из числа организаторов торговли, электронных площадок, информация о которых размещена в федеральной государственной информационной системе ценообразования в строительстве в соответствии с </w:t>
      </w:r>
      <w:r>
        <w:fldChar w:fldCharType="begin"/>
      </w:r>
      <w:r>
        <w:instrText xml:space="preserve"> HYPERLINK "https://login.consultant.ru/link/?req=doc&amp;base=LAW&amp;n=511394&amp;dst=2064" \n https://login.consultant.ru/link/?req=doc&amp;base=LAW&amp;n=511394&amp;dst=2064</w:instrText>
      </w:r>
      <w:r>
        <w:fldChar w:fldCharType="separate"/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пунктом 6 части 2 статьи 57</w:t>
      </w:r>
      <w:r>
        <w:fldChar w:fldCharType="end"/>
      </w:r>
      <w:r>
        <w:fldChar w:fldCharType="begin"/>
      </w:r>
      <w:r>
        <w:instrText xml:space="preserve"> HYPERLINK "https://login.consultant.ru/link/?req=doc&amp;base=LAW&amp;n=511394&amp;dst=2064" \n https://login.consultant.ru/link/?req=doc&amp;base=LAW&amp;n=511394&amp;dst=2064</w:instrText>
      </w:r>
      <w:r>
        <w:fldChar w:fldCharType="separate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fldChar w:fldCharType="end"/>
      </w:r>
      <w:r>
        <w:fldChar w:fldCharType="begin"/>
      </w:r>
      <w:r>
        <w:instrText xml:space="preserve"> HYPERLINK "https://login.consultant.ru/link/?req=doc&amp;base=LAW&amp;n=511394&amp;dst=2064" \n https://login.consultant.ru/link/?req=doc&amp;base=LAW&amp;n=511394&amp;dst=2064</w:instrText>
      </w:r>
      <w:r>
        <w:fldChar w:fldCharType="separate"/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</w:t>
      </w:r>
      <w:r>
        <w:fldChar w:fldCharType="end"/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Градостроительного кодекса Российской Федерации).</w:t>
      </w:r>
      <w:r/>
    </w:p>
    <w:p>
      <w:pPr>
        <w:pStyle w:val="950"/>
        <w:ind w:left="0" w:right="0" w:firstLine="539"/>
        <w:jc w:val="both"/>
        <w:spacing w:before="0" w:after="0" w:line="240" w:lineRule="auto"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 Установить, что в 2026 году при казначейском сопровождении средств, предоставляемых на основании контрактов (договоров), указанных в </w:t>
      </w:r>
      <w:r>
        <w:fldChar w:fldCharType="begin"/>
      </w:r>
      <w:r>
        <w:instrText xml:space="preserve"> HYPERLINK  \l "Par5" \n #Par5</w:instrText>
      </w:r>
      <w:r>
        <w:fldChar w:fldCharType="separate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пунктах 3</w:t>
      </w:r>
      <w:r>
        <w:fldChar w:fldCharType="end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>
        <w:fldChar w:fldCharType="begin"/>
      </w:r>
      <w:r>
        <w:instrText xml:space="preserve"> HYPERLINK  \l "Par11" \n #Par11</w:instrText>
      </w:r>
      <w:r>
        <w:fldChar w:fldCharType="separate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9 статьи 2</w:t>
      </w:r>
      <w:r>
        <w:fldChar w:fldCharType="end"/>
      </w:r>
      <w:r>
        <w:rPr>
          <w:rFonts w:ascii="Nimbus Roman" w:hAnsi="Nimbus Roman" w:eastAsia="Nimbus Roman" w:cs="Nimbus Roman"/>
          <w:sz w:val="28"/>
          <w:szCs w:val="28"/>
        </w:rPr>
        <w:t xml:space="preserve">2 решения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заключаемых в целях выполнения работ, оказания услуг в рамках исполнения муниципальных контрактов, контрактов (договоров), которые заключаются  муниципальными бюджетными и автономными учреждениями Колыванского района Новосибирской области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по таким контрактам (договорам) осуществляется в порядке, установленном федеральным законодательством,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овосибирской области,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Новосибирской об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ла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сти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федеральным законодательством.».</w:t>
      </w:r>
      <w:r/>
    </w:p>
    <w:p>
      <w:pPr>
        <w:pStyle w:val="1107"/>
        <w:ind w:right="140"/>
        <w:jc w:val="both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Изменения в доходную часть бюджета Колыванского района Новосибирской области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Style w:val="806"/>
        <w:tblW w:w="0" w:type="auto"/>
        <w:tblLayout w:type="fixed"/>
        <w:tblLook w:val="04A0" w:firstRow="1" w:lastRow="0" w:firstColumn="1" w:lastColumn="0" w:noHBand="0" w:noVBand="1"/>
      </w:tblPr>
      <w:tblGrid>
        <w:gridCol w:w="2295"/>
        <w:gridCol w:w="5649"/>
        <w:gridCol w:w="1843"/>
        <w:gridCol w:w="1984"/>
        <w:gridCol w:w="2693"/>
      </w:tblGrid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Код вида дохода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Наименование групп, подгрупп,  статей доходов, подстатей, элементов, кодов подвидов  доходов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2026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2027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2028 год</w:t>
            </w:r>
            <w:r/>
          </w:p>
        </w:tc>
      </w:tr>
      <w:tr>
        <w:tblPrEx/>
        <w:trPr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Налоговые доходы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434 331,90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392 307,00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420 010,00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000 101 00000 00 0000 000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Налоги на прибыль,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324 960,90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275 049,00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296 865,00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000 101 02000 00 0000 110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 на доходы физических лиц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324 960,90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275 049,00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296 865,00</w:t>
            </w:r>
            <w:r/>
          </w:p>
        </w:tc>
      </w:tr>
      <w:tr>
        <w:tblPrEx/>
        <w:trPr>
          <w:trHeight w:val="3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000 101 02010 01 0000 110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 на доходы физических лиц с дохо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324 842,90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274 921,70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296 727,60</w:t>
            </w:r>
            <w:r/>
          </w:p>
        </w:tc>
      </w:tr>
      <w:tr>
        <w:tblPrEx/>
        <w:trPr>
          <w:trHeight w:val="22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000 101 02040 01 1000 110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<w:br/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127,30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137,40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8 163,00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10 653,00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10 846,00</w:t>
            </w:r>
            <w:r/>
          </w:p>
        </w:tc>
      </w:tr>
      <w:tr>
        <w:tblPrEx/>
        <w:trPr>
          <w:trHeight w:val="5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000 103 02000 01 0000 110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8 163,00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10 653,00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10 846,00</w:t>
            </w:r>
            <w:r/>
          </w:p>
        </w:tc>
      </w:tr>
      <w:tr>
        <w:tblPrEx/>
        <w:trPr>
          <w:trHeight w:val="20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000 103 02231 01 0000 110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3 983,00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5 295,00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5 425,00</w:t>
            </w:r>
            <w:r/>
          </w:p>
        </w:tc>
      </w:tr>
      <w:tr>
        <w:tblPrEx/>
        <w:trPr>
          <w:trHeight w:val="22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000 103 02241 01 0000 110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33,00</w:t>
            </w:r>
            <w:r/>
          </w:p>
        </w:tc>
      </w:tr>
      <w:tr>
        <w:tblPrEx/>
        <w:trPr>
          <w:trHeight w:val="20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000 103 02251 01 0000 110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4 629,00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5 936,00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5 969,00</w:t>
            </w:r>
            <w:r/>
          </w:p>
        </w:tc>
      </w:tr>
      <w:tr>
        <w:tblPrEx/>
        <w:trPr>
          <w:trHeight w:val="20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000 103 02261 01 0000 110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-475,00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-611,00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-581,00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Налоги на совокупный доход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71 901,00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77 170,00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82 728,00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000 105 01000 00 0000 110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Налог, взимаемый в связи с применением упрощенной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62 959,00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67 870,00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73 028,00</w:t>
            </w:r>
            <w:r/>
          </w:p>
        </w:tc>
      </w:tr>
      <w:tr>
        <w:tblPrEx/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000 105 01011 01 1000 110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46 959,00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49 870,00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53 028,00</w:t>
            </w:r>
            <w:r/>
          </w:p>
        </w:tc>
      </w:tr>
      <w:tr>
        <w:tblPrEx/>
        <w:trPr>
          <w:trHeight w:val="15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000 105 01021 01 1000 110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Налог, взимаемый с налогоплательщиков, выбравших в качестве объе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20 000,00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000 105 03000 00 0000 110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Единый сельскохозяйственный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130,00</w:t>
            </w:r>
            <w:r/>
          </w:p>
        </w:tc>
      </w:tr>
      <w:tr>
        <w:tblPrEx/>
        <w:trPr>
          <w:trHeight w:val="9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000 105 03010 01 1000 110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130,00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000 105 04000 00 0000 110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 взимаемый с применением патентной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8 822,00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9 175,00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9 570,00</w:t>
            </w:r>
            <w:r/>
          </w:p>
        </w:tc>
      </w:tr>
      <w:tr>
        <w:tblPrEx/>
        <w:trPr>
          <w:trHeight w:val="11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000 105 04020 02 1000 110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8 822,00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9 175,00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9 570,00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000 106 00000 00 0000 000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Налоги на имущество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14 697,00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14 825,00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14 961,00</w:t>
            </w:r>
            <w:r/>
          </w:p>
        </w:tc>
      </w:tr>
      <w:tr>
        <w:tblPrEx/>
        <w:trPr>
          <w:trHeight w:val="33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000 106 04000 02 0000 110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Транспортный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14 697,00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14 825,00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14 961,00</w:t>
            </w:r>
            <w:r/>
          </w:p>
        </w:tc>
      </w:tr>
      <w:tr>
        <w:tblPrEx/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000 106 04011 02 1000 110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2 112,00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2 240,00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2 376,00</w:t>
            </w:r>
            <w:r/>
          </w:p>
        </w:tc>
      </w:tr>
      <w:tr>
        <w:tblPrEx/>
        <w:trPr>
          <w:trHeight w:val="10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000 106 04012 02 1000 110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12 585,00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12 585,00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12 585,00</w:t>
            </w:r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000 108 00000 00 0000 000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Государственная пошлина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</w:tr>
      <w:tr>
        <w:tblPrEx/>
        <w:trPr>
          <w:trHeight w:val="7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000 108 03010 01 0000 110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14 610,00</w:t>
            </w:r>
            <w:r/>
          </w:p>
        </w:tc>
      </w:tr>
      <w:tr>
        <w:tblPrEx/>
        <w:trPr>
          <w:trHeight w:val="4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Неналоговые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19 718,10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19 682,20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19 602,20</w:t>
            </w:r>
            <w:r/>
          </w:p>
        </w:tc>
      </w:tr>
      <w:tr>
        <w:tblPrEx/>
        <w:trPr>
          <w:trHeight w:val="5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11950,8+250,0=   12200,8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11933,5+250,0=    12183,5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11892,9+250,0=    12142,9</w:t>
            </w:r>
            <w:r/>
          </w:p>
        </w:tc>
      </w:tr>
      <w:tr>
        <w:tblPrEx/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000 111 05013 05 0000 120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Доходы, получаемые в виде арендной платы за земельные уча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9 912,60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9 892,90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9 842,70</w:t>
            </w:r>
            <w:r/>
          </w:p>
        </w:tc>
      </w:tr>
      <w:tr>
        <w:tblPrEx/>
        <w:trPr>
          <w:trHeight w:val="13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000 111 05013 13 0000 120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Доходы, полу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1300+250=1550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1300+250=1550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1300+250=1550</w:t>
            </w:r>
            <w:r/>
          </w:p>
        </w:tc>
      </w:tr>
      <w:tr>
        <w:tblPrEx/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000 111 05025 05 0000 120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336,40</w:t>
            </w:r>
            <w:r/>
          </w:p>
        </w:tc>
      </w:tr>
      <w:tr>
        <w:tblPrEx/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000 111 05035 05 0000 120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367,80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379,80</w:t>
            </w:r>
            <w:r/>
          </w:p>
        </w:tc>
      </w:tr>
      <w:tr>
        <w:tblPrEx/>
        <w:trPr>
          <w:trHeight w:val="18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000 111 09080 05 0000 120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34,00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4585-250=4335,0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4585-250=4335,0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4585-250=4335,0</w:t>
            </w:r>
            <w:r/>
          </w:p>
        </w:tc>
      </w:tr>
      <w:tr>
        <w:tblPrEx/>
        <w:trPr>
          <w:trHeight w:val="6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000 113 01995 05 0012 130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муниципальных районов (МКУ Колыванский краеведческий музей»)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846,00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846,00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846,00</w:t>
            </w:r>
            <w:r/>
          </w:p>
        </w:tc>
      </w:tr>
      <w:tr>
        <w:tblPrEx/>
        <w:trPr>
          <w:trHeight w:val="93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000 113 01995 05 0013 130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муниципальных районов (МКУ "Единая дежурная диспечерская служба»)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250-250=0,00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250-250=0,00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250-25=0,00</w:t>
            </w:r>
            <w:r/>
          </w:p>
        </w:tc>
      </w:tr>
      <w:tr>
        <w:tblPrEx/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000 113 01995 05 0014 130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2 000,00</w:t>
            </w:r>
            <w:r/>
          </w:p>
        </w:tc>
      </w:tr>
      <w:tr>
        <w:tblPrEx/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000 113 01995 05 0015 130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1 254,00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1 254,00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1 254,00</w:t>
            </w:r>
            <w:r/>
          </w:p>
        </w:tc>
      </w:tr>
      <w:tr>
        <w:tblPrEx/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000 113 02065 05 0000 130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145,00</w:t>
            </w:r>
            <w:r/>
          </w:p>
        </w:tc>
      </w:tr>
      <w:tr>
        <w:tblPrEx/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000 113 02995 05 0000 130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Прочие доходы от компенсации затрат бюджетов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90,00</w:t>
            </w:r>
            <w:r/>
          </w:p>
        </w:tc>
      </w:tr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000 114 00000 00 0000 000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продажи материальных и нематериальных активов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1 300,00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1 300,00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1 300,00</w:t>
            </w:r>
            <w:r/>
          </w:p>
        </w:tc>
      </w:tr>
      <w:tr>
        <w:tblPrEx/>
        <w:trPr>
          <w:trHeight w:val="12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000 114 06013 05 0000 430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500,00</w:t>
            </w:r>
            <w:r/>
          </w:p>
        </w:tc>
      </w:tr>
      <w:tr>
        <w:tblPrEx/>
        <w:trPr>
          <w:trHeight w:val="93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000 114 06013 13 0000 430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800,00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000 116 00000 00 0000 000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Штрафы, санкции, возмещение ущерба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1 876,30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1 857,30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1 817,80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000 116 01053 01 0000 140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18,00</w:t>
            </w:r>
            <w:r/>
          </w:p>
        </w:tc>
      </w:tr>
      <w:tr>
        <w:tblPrEx/>
        <w:trPr>
          <w:trHeight w:val="17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000 116 01063 01 0000 140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131,40</w:t>
            </w:r>
            <w:r/>
          </w:p>
        </w:tc>
      </w:tr>
      <w:tr>
        <w:tblPrEx/>
        <w:trPr>
          <w:trHeight w:val="13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000 116 01073 01 0000 140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10,20</w:t>
            </w:r>
            <w:r/>
          </w:p>
        </w:tc>
      </w:tr>
      <w:tr>
        <w:tblPrEx/>
        <w:trPr>
          <w:trHeight w:val="19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000 116 01083 01 0000 140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45,20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000 116 01113 01 0000 140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1,60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000 116 01123 01 0000 140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9,50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000 116 01133 01 0000 140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4,90</w:t>
            </w:r>
            <w:r/>
          </w:p>
        </w:tc>
      </w:tr>
      <w:tr>
        <w:tblPrEx/>
        <w:trPr>
          <w:trHeight w:val="18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000 116 01143 01 0000 140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27,80</w:t>
            </w:r>
            <w:r/>
          </w:p>
        </w:tc>
      </w:tr>
      <w:tr>
        <w:tblPrEx/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000 116 01173 01 0000 140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Административные штрафы, ус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2,90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000 116 01193 01 0000 140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24,10</w:t>
            </w:r>
            <w:r/>
          </w:p>
        </w:tc>
      </w:tr>
      <w:tr>
        <w:tblPrEx/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000 116 01203 01 0000 140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352,10</w:t>
            </w:r>
            <w:r/>
          </w:p>
        </w:tc>
      </w:tr>
      <w:tr>
        <w:tblPrEx/>
        <w:trPr>
          <w:trHeight w:val="12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000 116 02010 02 0000 140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24,90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000 116 07010 05 0000 140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168,70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134,60</w:t>
            </w:r>
            <w:r/>
          </w:p>
        </w:tc>
      </w:tr>
      <w:tr>
        <w:tblPrEx/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000 116 07090 05 0000 140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73,90</w:t>
            </w:r>
            <w:r/>
          </w:p>
        </w:tc>
      </w:tr>
      <w:tr>
        <w:tblPrEx/>
        <w:trPr>
          <w:trHeight w:val="30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000 116 11050 01 0000 140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Платежи по искам о возмещении вреда, причиненного окружающей среде, а также платежи, уплач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899,80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933,40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956,70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000 117 00000 00 0000 000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Прочие неналоговые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6,50</w:t>
            </w:r>
            <w:r/>
          </w:p>
        </w:tc>
      </w:tr>
      <w:tr>
        <w:tblPrEx/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000 117 05050 05 0000 180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Прочие неналоговые доходы бюджетов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6,50</w:t>
            </w:r>
            <w:r/>
          </w:p>
        </w:tc>
      </w:tr>
      <w:tr>
        <w:tblPrEx/>
        <w:trPr>
          <w:trHeight w:val="5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Всего доходов налоговых и неналоговых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454 050,00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411 989,20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439 612,20</w:t>
            </w:r>
            <w:r/>
          </w:p>
        </w:tc>
      </w:tr>
      <w:tr>
        <w:tblPrEx/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200 000 00000 00 0000 000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Безвозмездные поступления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1915328,7+17551,3= 1 932 880,0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1 403 226,70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1 463 959,90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Дотация  бюджетам муниципальных районов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126 763,00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74 618,60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80 531,90</w:t>
            </w:r>
            <w:r/>
          </w:p>
        </w:tc>
      </w:tr>
      <w:tr>
        <w:tblPrEx/>
        <w:trPr>
          <w:trHeight w:val="6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000 202 15001 05 0000 150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Дотации бюджетам муниципальных районов на выравнивание бюджетной обеспеченности из бюджета субъекта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126 763,00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74 618,60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80 531,90</w:t>
            </w:r>
            <w:r/>
          </w:p>
        </w:tc>
      </w:tr>
      <w:tr>
        <w:tblPrEx/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000 202 20000 00 0000 150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727 428,10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146 317,30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210 974,40</w:t>
            </w:r>
            <w:r/>
          </w:p>
        </w:tc>
      </w:tr>
      <w:tr>
        <w:tblPrEx/>
        <w:trPr>
          <w:trHeight w:val="12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000 202 20077 05 0000 150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40 357,70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19 655,10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82 307,70</w:t>
            </w:r>
            <w:r/>
          </w:p>
        </w:tc>
      </w:tr>
      <w:tr>
        <w:tblPrEx/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100 055,50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5 115,40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7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000 202 20216 05 0000 150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34 041,80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39 219,50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39 219,50</w:t>
            </w:r>
            <w:r/>
          </w:p>
        </w:tc>
      </w:tr>
      <w:tr>
        <w:tblPrEx/>
        <w:trPr>
          <w:trHeight w:val="163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000 202 25304 05 0000 150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организацию бесплатного горячего питани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18 542,80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19 283,80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20 054,60</w:t>
            </w:r>
            <w:r/>
          </w:p>
        </w:tc>
      </w:tr>
      <w:tr>
        <w:tblPrEx/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000 202 25467 05 0000 150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1 249,30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1 159,30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1 167,80</w:t>
            </w:r>
            <w:r/>
          </w:p>
        </w:tc>
      </w:tr>
      <w:tr>
        <w:tblPrEx/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000 202 25519 05 0000 150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государственную поддержку отрасли культуры государственной программы Новосибирской области "Культура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278,10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283,80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289,00</w:t>
            </w:r>
            <w:r/>
          </w:p>
        </w:tc>
      </w:tr>
      <w:tr>
        <w:tblPrEx/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000 202 25527 05 0000 150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129,70</w:t>
            </w:r>
            <w:r/>
          </w:p>
        </w:tc>
      </w:tr>
      <w:tr>
        <w:tblPrEx/>
        <w:trPr>
          <w:trHeight w:val="10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000 202 25590 05 0000 150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техническое оснащение региональных и муниципальных музеев государственной программы Новосибирской области "Культура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2 064,00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000 202 25750 05 0000 150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47 804,70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7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ресурсному обеспечению модернизации образования Но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72 156,40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0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отдыху и оздоровлению детей, находящихся в трудной жизненной ситуации, направляемых администрациями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собственности, государственной программы Новосибирской области "Социальная поддержка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4 402,30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4 402,30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4 402,30</w:t>
            </w:r>
            <w:r/>
          </w:p>
        </w:tc>
      </w:tr>
      <w:tr>
        <w:tblPrEx/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софинансирован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619,80</w:t>
            </w:r>
            <w:r/>
          </w:p>
        </w:tc>
      </w:tr>
      <w:tr>
        <w:tblPrEx/>
        <w:trPr>
          <w:trHeight w:val="16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осуществление полномочий по организации регулярных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14 086,20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8 315,30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8 315,30</w:t>
            </w:r>
            <w:r/>
          </w:p>
        </w:tc>
      </w:tr>
      <w:tr>
        <w:tblPrEx/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32 329,20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45 007,70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45 007,70</w:t>
            </w:r>
            <w:r/>
          </w:p>
        </w:tc>
      </w:tr>
      <w:tr>
        <w:tblPrEx/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организацию бесперебойной работы объектов тепло-, водоснабжения и водоотведения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7 710,20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7 710,20</w:t>
            </w:r>
            <w:r/>
          </w:p>
        </w:tc>
      </w:tr>
      <w:tr>
        <w:tblPrEx/>
        <w:trPr>
          <w:trHeight w:val="19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подготовке  градостроительной документации и (или) внесению изменений в нее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1 220,00</w:t>
            </w:r>
            <w:r/>
          </w:p>
        </w:tc>
      </w:tr>
      <w:tr>
        <w:tblPrEx/>
        <w:trPr>
          <w:trHeight w:val="9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353 664,30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3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Субсидия на обустройс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тво (создание) контейнерных площадок,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530,80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530,80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530,80</w:t>
            </w:r>
            <w:r/>
          </w:p>
        </w:tc>
      </w:tr>
      <w:tr>
        <w:tblPrEx/>
        <w:trPr>
          <w:trHeight w:val="8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000 202 30000 00 0000 150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Субвенции бюджетам субъектов Российской Федерации и муниципальных образований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1 003 721,80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1 123 688,20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1 111 830,20</w:t>
            </w:r>
            <w:r/>
          </w:p>
        </w:tc>
      </w:tr>
      <w:tr>
        <w:tblPrEx/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реализацию общеобразовательных программ в муниципальных общеобразовательных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356 782,50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396 151,90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428 662,70</w:t>
            </w:r>
            <w:r/>
          </w:p>
        </w:tc>
      </w:tr>
      <w:tr>
        <w:tblPrEx/>
        <w:trPr>
          <w:trHeight w:val="153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19 337,20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20 724,00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20 724,00</w:t>
            </w:r>
            <w:r/>
          </w:p>
        </w:tc>
      </w:tr>
      <w:tr>
        <w:tblPrEx/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2 265,70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2 565,80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2 765,90</w:t>
            </w:r>
            <w:r/>
          </w:p>
        </w:tc>
      </w:tr>
      <w:tr>
        <w:tblPrEx/>
        <w:trPr>
          <w:trHeight w:val="11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51 797,30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56 149,10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58 815,40</w:t>
            </w:r>
            <w:r/>
          </w:p>
        </w:tc>
      </w:tr>
      <w:tr>
        <w:tblPrEx/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58 929,70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66 669,20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72 457,40</w:t>
            </w:r>
            <w:r/>
          </w:p>
        </w:tc>
      </w:tr>
      <w:tr>
        <w:tblPrEx/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134,50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143,50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153,50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11,20</w:t>
            </w:r>
            <w:r/>
          </w:p>
        </w:tc>
      </w:tr>
      <w:tr>
        <w:tblPrEx/>
        <w:trPr>
          <w:trHeight w:val="8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129 663,30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88 425,50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94 975,10</w:t>
            </w:r>
            <w:r/>
          </w:p>
        </w:tc>
      </w:tr>
      <w:tr>
        <w:tblPrEx/>
        <w:trPr>
          <w:trHeight w:val="31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организации получения образования обучающими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 тяжелыми нарушениями речи, с нарушениями опорно-двигательного аппарата, с задержкой психического развития, с умственной осталостью,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144 288,50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158 044,20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163 707,50</w:t>
            </w:r>
            <w:r/>
          </w:p>
        </w:tc>
      </w:tr>
      <w:tr>
        <w:tblPrEx/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130 511,70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146 889,60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158 296,60</w:t>
            </w:r>
            <w:r/>
          </w:p>
        </w:tc>
      </w:tr>
      <w:tr>
        <w:tblPrEx/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 осуществление отдельных государственных полномочий Новосибирской области по 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492,10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588,80</w:t>
            </w:r>
            <w:r/>
          </w:p>
        </w:tc>
      </w:tr>
      <w:tr>
        <w:tblPrEx/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1 399,50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2 831,60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2 831,60</w:t>
            </w:r>
            <w:r/>
          </w:p>
        </w:tc>
      </w:tr>
      <w:tr>
        <w:tblPrEx/>
        <w:trPr>
          <w:trHeight w:val="18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мочий Новосибирской области по предоставлению гражданам, имеющим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9 531,50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4 923,20</w:t>
            </w:r>
            <w:r/>
          </w:p>
        </w:tc>
      </w:tr>
      <w:tr>
        <w:tblPrEx/>
        <w:trPr>
          <w:trHeight w:val="13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000 202 30024 05 0000 150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19 279,70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14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000 202 35082 05 0000 150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обеспечению жилыми помещениями детей-сирот и детей, оставшихся без попечения родителей, лиц  из их числа по договорам найма специализированных жилых помещений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67 689,00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168 828,40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95 043,60</w:t>
            </w:r>
            <w:r/>
          </w:p>
        </w:tc>
      </w:tr>
      <w:tr>
        <w:tblPrEx/>
        <w:trPr>
          <w:trHeight w:val="11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000 202 35082 05 0000 150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выплаты на приобретение в собственность жилого помещения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15 543,60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000 202 35118 05 0000 150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полномочий  по первичному воинскому учету органами местного самоуправления поселений, муниципальных и городских округов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5 516,00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6 160,80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7 861,60</w:t>
            </w:r>
            <w:r/>
          </w:p>
        </w:tc>
      </w:tr>
      <w:tr>
        <w:tblPrEx/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000 202 35120 05 0000 150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81,90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12,10</w:t>
            </w:r>
            <w:r/>
          </w:p>
        </w:tc>
      </w:tr>
      <w:tr>
        <w:tblPrEx/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00020240000000000150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57415,8+17551,3=  74967,1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58 602,60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60 623,40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000 202 40014 05 0000 150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204,70</w:t>
            </w:r>
            <w:r/>
          </w:p>
        </w:tc>
      </w:tr>
      <w:tr>
        <w:tblPrEx/>
        <w:trPr>
          <w:trHeight w:val="13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000 202 40014 05 0000 150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 в соответствии с заключёнными соглашениями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790,20</w:t>
            </w:r>
            <w:r/>
          </w:p>
        </w:tc>
      </w:tr>
      <w:tr>
        <w:tblPrEx/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000 202 40014 05 0000 150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передаваемые бюджетам муниципальных районов из бюджетов поселений на прочие мероприятия в сфере дорожной деятельности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0+17551,3= 17551,3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4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000 202 4505005 0000 150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1 968,60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1 968,60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1 968,60</w:t>
            </w:r>
            <w:r/>
          </w:p>
        </w:tc>
      </w:tr>
      <w:tr>
        <w:tblPrEx/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00020245303050000150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ежемесячное денежное вознагражде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38 435,00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38 810,00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38 810,00</w:t>
            </w:r>
            <w:r/>
          </w:p>
        </w:tc>
      </w:tr>
      <w:tr>
        <w:tblPrEx/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2 111,30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2 111,30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2 111,30</w:t>
            </w:r>
            <w:r/>
          </w:p>
        </w:tc>
      </w:tr>
      <w:tr>
        <w:tblPrEx/>
        <w:trPr>
          <w:trHeight w:val="18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ежемесячное денежное вознаграждение за классное руководство педагогическим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работникам муниципальных общеобразовательных организаций  в часи повышенного районного коэффициента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1 606,60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1 617,10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1 617,10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8 004,80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8 806,20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10 827,00</w:t>
            </w:r>
            <w:r/>
          </w:p>
        </w:tc>
      </w:tr>
      <w:tr>
        <w:tblPrEx/>
        <w:trPr>
          <w:trHeight w:val="18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Иные межбюджетные трансферты на обеспечение деятельности советников директора по 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4 294,60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4 294,50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4 294,50</w:t>
            </w:r>
            <w:r/>
          </w:p>
        </w:tc>
      </w:tr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Итого доходов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2369378,7+17551,3=  2 386 930,0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1 815 215,80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1 903 572,10</w:t>
            </w:r>
            <w:r/>
          </w:p>
        </w:tc>
      </w:tr>
    </w:tbl>
    <w:p>
      <w:pPr>
        <w:ind w:left="0" w:firstLine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8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highlight w:val="none"/>
        </w:rPr>
      </w:pPr>
      <w:r>
        <w:t xml:space="preserve">  Изменения в расходной части бюджета  по разделам, подразделам и  целевым статьям и видам расходов  на 2026 год и плановый период 2027-2028</w:t>
      </w:r>
      <w:r>
        <w:rPr>
          <w:highlight w:val="none"/>
        </w:rPr>
      </w:r>
      <w:r>
        <w:rPr>
          <w:highlight w:val="none"/>
        </w:rPr>
      </w:r>
    </w:p>
    <w:tbl>
      <w:tblPr>
        <w:tblStyle w:val="806"/>
        <w:tblW w:w="0" w:type="auto"/>
        <w:tblLook w:val="04A0" w:firstRow="1" w:lastRow="0" w:firstColumn="1" w:lastColumn="0" w:noHBand="0" w:noVBand="1"/>
      </w:tblPr>
      <w:tblGrid>
        <w:gridCol w:w="4155"/>
        <w:gridCol w:w="945"/>
        <w:gridCol w:w="1065"/>
        <w:gridCol w:w="1125"/>
        <w:gridCol w:w="945"/>
        <w:gridCol w:w="1830"/>
        <w:gridCol w:w="1830"/>
        <w:gridCol w:w="1830"/>
        <w:gridCol w:w="1815"/>
      </w:tblGrid>
      <w:tr>
        <w:tblPrEx/>
        <w:trPr>
          <w:trHeight w:val="27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Наименование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РЗ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ЦСР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ВР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Сумма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увеличение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уменьшение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Сумма</w:t>
            </w:r>
            <w:r/>
          </w:p>
        </w:tc>
      </w:tr>
      <w:tr>
        <w:tblPrEx/>
        <w:trPr>
          <w:trHeight w:val="27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2026 год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утверждению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237570,00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6276,3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2985,8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240860,5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3 928,1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3 928,1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3 928,1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3 928,1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2 871,8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2 871,8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оплату труда и содержание аппарата управления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оплату труда председателя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9900004110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2 857,6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2 857,6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71 355,8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1450,3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72806,1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61 306,0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1450,3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62756,3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55 034,6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55 034,6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5 708,2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1450,3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7158,5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563,2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876,1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876,1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Образование и организация деятельности комиссий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2 265,7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2 265,7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1 788,7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1 788,7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477,0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477,0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3 085,7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3 085,7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2 505,5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580,2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Решение вопросов в сфере административных правонарушений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Субвенции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1,2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492,1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492,1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482,1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134,4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133,4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3 186,1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3 186,1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2 394,8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2 394,8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791,3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791,3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Судебная система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9900051200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5 207,8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5743,5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обеспечение функций контрольно- счетного органа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3 630,4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обеспечение функций по внутреннему контролю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1 577,4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535,7 (ост.)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2113,1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1 574,4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1607,3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505,7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Резервные фонды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3105,00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3105,00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3105,00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3105,00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Резервные средства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3105,00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3105,00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151 019,6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4290,3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2985,8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152324,1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Осуществление мероприятий муниципальной программы "Совершенствование и развитие архивного дела Колыванского района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1400010140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Закупка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1400010140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42 150,5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3530,3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45680,9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37 207,1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2985,8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40192,9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4 877,9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5422,4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65,5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2900070610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619,8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2900070610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619,8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развитию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29000S0610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10,8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29000S0610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10,8</w:t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Оценка недвижимости, признание прав и регулирование отношений по муниципальной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760,00</w:t>
            </w:r>
            <w:r/>
          </w:p>
        </w:tc>
      </w:tr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760,00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обеспечение деятельности муниципального учреждения, обеспечивающего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60 793,7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60 793,7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56 704,8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56 704,8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4 081,2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4 081,2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расходы по отдельным (разовым) решениям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6 915,5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2985,8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3929,7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6 915,5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2985,8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3929,7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40 429,3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40 429,3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40 429,3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40 429,3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НАЦИОНАЛЬНАЯ ОБОРОНА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9900051180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Субвенции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9900051180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5 516,0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13 421,8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13516,8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13 421,8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13516,8</w:t>
            </w:r>
            <w:r/>
          </w:p>
        </w:tc>
      </w:tr>
      <w:tr>
        <w:tblPrEx/>
        <w:trPr>
          <w:trHeight w:val="22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Осуществление мероприятий в рамках реализации муниципальной программы "Организация и осуществление мероприятий в области 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Колыванского района Новосибирской области на 2025-2027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1800011010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1800011010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2810010120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13 221,8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95,00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13316,80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2810010120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10 391,2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10 391,2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2810010120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2 830,6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95,00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2925,60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124 350,5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19806,4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144157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1 599,5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1 599,5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в рамках муниципальной программы "Развитие сельского хозяйства и регулирование сельскохозяйственных рынков сырья и продовольствия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1900012020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Премии и гранты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1900012020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деятельности по обращению с животными без владельцев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1 399,5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1 399,5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1 399,5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1 399,5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Водное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Защита территорий населенных пунктов Новосибирской области от подтопления и затопления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1800070870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1800070870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40 357,7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Транспорт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20 829,9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20 829,9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14 086,2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14 086,2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14 086,2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14 086,2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243,7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по организации пассажирских перевозок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9900012040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3 615,3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3 615,3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9900012040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3 615,3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3 615,3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2 884,7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2 884,7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2 884,7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2 884,7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56 901,8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19790,2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76692,1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Мероприятия, направленные на развитие муниципальных дорог за счет средств "Дорожного фонда"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22 620,7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2238,9 (ост.)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24859,7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22 620,7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1238,9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23859,6</w:t>
            </w:r>
            <w:r/>
          </w:p>
        </w:tc>
      </w:tr>
      <w:tr>
        <w:tblPrEx/>
        <w:trPr>
          <w:trHeight w:val="3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</w:tr>
      <w:tr>
        <w:tblPrEx/>
        <w:trPr>
          <w:trHeight w:val="3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мероприятия в сфере дорожной деятельности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17551,3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17551,3</w:t>
            </w:r>
            <w:r/>
          </w:p>
        </w:tc>
      </w:tr>
      <w:tr>
        <w:tblPrEx/>
        <w:trPr>
          <w:trHeight w:val="3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3967,5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3967,5</w:t>
            </w:r>
            <w:r/>
          </w:p>
        </w:tc>
      </w:tr>
      <w:tr>
        <w:tblPrEx/>
        <w:trPr>
          <w:trHeight w:val="3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13583,8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13583,8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34 041,8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34041,8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14 999,8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14999,8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200009Д160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19 042,0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19042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34041,8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34281,1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14999,8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15239,1</w:t>
            </w:r>
            <w:r/>
          </w:p>
        </w:tc>
      </w:tr>
      <w:tr>
        <w:tblPrEx/>
        <w:trPr>
          <w:trHeight w:val="33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20000SД160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19042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19042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4 661,7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4677,9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мероприятий, предусмотренных муниципальной программой "Развитие субъектов малого и среднего предпринимательства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0200012200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297,8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0200012200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0200012200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247,8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Развитие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129,7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развитию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2,2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02000S0690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4 232,0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4 232,0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4 232,0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4 232,0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207 563,3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208625,3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Жилищное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66 869,4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66931,4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мероприятия в области жилищного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66 812,9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66 812,9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811,8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66 001,1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66 001,1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134 959,1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135959,1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Финансовое обеспечение реализации инфраструктурных (инвестиционных) проектов за счет средств от списания задолженности по бюджетным кредитам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0400009881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100 055,5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100 055,5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0400009881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100 055,5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100 055,5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мероприятия на поддержку 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</w:t>
            </w:r>
            <w:r/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500,0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финансового обеспечения реализации инфраструктурных (инвестиционных) проектов за счет средств от списания задолженности по бюджетным кредитам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04000S9881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1 730,4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1 730,4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04000S9881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1 730,4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1 730,4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Снабжение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5 026,7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5 026,7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2 065,0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2 961,7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2 961,7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функционирования систем тепло-, водоснабжения населения и водоотведения, за исключением мероприятий по содержанию объектов тепло-,водоснабжения и водоотведения в состоянии, обеспечивающем их бесперебойную работу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27 302,5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27 302,5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10 381,4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10 381,4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16 921,1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16 921,1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снабжению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51,3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51,3</w:t>
            </w:r>
            <w:r/>
          </w:p>
        </w:tc>
      </w:tr>
      <w:tr>
        <w:tblPrEx/>
        <w:trPr>
          <w:trHeight w:val="15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организации функционирования систем тепло-, водоснабжения населения и водоотведения, за исключением мероприятий по содержанию объектов тепло-, водоснабжения и водоотведения в состоянии, обеспечивающем их бесперебойную работу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292,7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292,7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Благоустройство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Обустройство (создание) контейнерных площадок, приобретение контейнеров (емкостей) для накопления твердых коммунальных отходов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530,8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5 203,9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5 203,9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5 115,4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5 115,4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5 115,4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5 115,4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к субсидии на 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99000S0550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1 306 020,2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9659,8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1315680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227 685,3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228794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560,3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560,3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Меры социальной поддержки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828,0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828,0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Детские дошкольные учреждения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45 513,5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46061,9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45 513,5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46061,9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130 511,7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130 511,7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130 511,7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130 511,7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50 832,1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50 832,1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50 832,1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50 832,1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Общее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932 966,8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8278,6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941245,4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72 156,4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72 156,4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72 156,4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72 156,4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490,0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8205,4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8695,4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8475,4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8675,4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2 556,5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2 556,5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2 556,5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2 556,5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1 248,0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1 248,0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1 248,0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1 248,0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мероприятий по модернизации школьных систем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050Ю4L7501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48 723,3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48 723,3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050Ю4L7501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48 723,3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48 723,3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Меры социальной поддержки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18 509,2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18 509,2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18 509,2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18 509,2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Школы-детские сады, школы начальные, неполные средние и средние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118 414,2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118487,4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118 414,2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118487,4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общеобразовательных программ в муниципальных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356 782,5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356 782,5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356 782,5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356 782,5</w:t>
            </w:r>
            <w:r/>
          </w:p>
        </w:tc>
      </w:tr>
      <w:tr>
        <w:tblPrEx/>
        <w:trPr>
          <w:trHeight w:val="20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получения образования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обучающихся с ограниченными возможностями здоровья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144 288,5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144 288,5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144 288,5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144 288,5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104 629,9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104 629,9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104 629,9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104 629,9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18 863,5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18 863,5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18 863,5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18 863,5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1 968,6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1 968,6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1 968,6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1 968,6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4 212,6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4 212,6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38 435,0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38 435,0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990Ю653030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38 435,0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38 435,0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990Ю6А0500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990Ю6А0500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82,0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990Ю6А3030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1 606,6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1 606,6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990Ю6А3030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1 606,6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1 606,6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125 250,0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125522,5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241,6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241,6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содержание, обеспечение деятельности и мероприятия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54 287,2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54318,1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54 287,2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54318,1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70 962,8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70 962,8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8 192,4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8 192,4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62 770,4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62 770,4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Молодежная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"Молодежь Колыванского района Новосибирской области на 2025-2027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0800015400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0800015400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20 068,1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20 068,1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2 096,2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2 096,2</w:t>
            </w:r>
            <w:r/>
          </w:p>
        </w:tc>
      </w:tr>
      <w:tr>
        <w:tblPrEx/>
        <w:trPr>
          <w:trHeight w:val="18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мероприятий по отд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ыху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4 402,3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4 402,3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586,5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3 815,8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3 815,8</w:t>
            </w:r>
            <w:r/>
          </w:p>
        </w:tc>
      </w:tr>
      <w:tr>
        <w:tblPrEx/>
        <w:trPr>
          <w:trHeight w:val="18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Софинансирование мероприятий по отды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66,0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2026-2030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2700015800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2700015800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50,0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направленные на содержание учреждений, обеспечивающих предоставление психолого-педагогической, медицинской и социальной помощи обучающимся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4 537,9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4 537,9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4 537,9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4 537,9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8 875,5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8 875,5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8 875,5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8 875,5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132 456,7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132 456,7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Культура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132 456,7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132 456,7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2026-2030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2026-2028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Стипендии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1 271,0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1 271,0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1 271,0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1 271,0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283,0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10000L5190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283,0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Модернизация муниципальных музеев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100Я555970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2 099,7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100Я555970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2 099,7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 и обеспечение деятельности муниципальных библиотек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20 332,0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20 332,0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20 332,0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20 332,0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 и обеспечение деятельности муниципальных музеев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21 396,4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21 396,4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19 890,9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19 890,9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810,7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694,8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694,8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41 077,7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41 077,7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36 911,0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36 911,0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3 574,1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3 574,1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592,6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45 756,9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45 756,9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13 687,0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13 687,0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32 069,9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32 069,9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152 949,2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152 949,2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Доплаты к пенсиям муниципальных служащих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3 429,6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63 848,8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63 848,8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55 844,0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55 844,0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55 844,0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55 844,0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Создание системы долговременного ухода за гражданами пожилого возраста и инвалидами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990Я451630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8 004,8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8 004,8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990Я451630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8 004,8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8 004,8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21 516,0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21 516,0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жильем молодых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03000L4979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2 236,3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2 236,3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03000L4979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2 236,3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2 236,3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Предоставление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19 279,7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19 279,7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19 279,7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19 279,7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64 154,8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64 154,8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Предоставление единовременной выплаты на приобретение в собственность жилого помещения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15 543,6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15 543,6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15 543,6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15061,70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481,90</w:t>
            </w:r>
            <w:r/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выплаты населению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9900071259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15061,70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15061,70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Выплаты приемной семье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9910000000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15 924,8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15 924,8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9910070289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15 924,8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15 924,8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Выплата вознаграждения приемным родителям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9920000000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24 503,7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24 503,7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9920070289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24 503,7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24 503,7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Выплаты семьям опекунов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9930000000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8 182,7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8 182,7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9930070289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8 182,7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8 182,7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66 617,5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68215,5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Физическая культура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23076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23076</w:t>
            </w:r>
            <w:r/>
          </w:p>
        </w:tc>
      </w:tr>
      <w:tr>
        <w:tblPrEx/>
        <w:trPr>
          <w:trHeight w:val="87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</w:t>
            </w:r>
            <w:r/>
          </w:p>
        </w:tc>
      </w:tr>
      <w:tr>
        <w:tblPrEx/>
        <w:trPr>
          <w:trHeight w:val="5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содержание, обеспечение деятельности и мероприятия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8856,4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8856,4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8856,4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8856,4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14119,6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14119,6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14119,6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14119,6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Массовый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40 386,4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40784,4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2026-2030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0600015420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10,0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2025-2027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0900018100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598,00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0900018100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398,00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598,00</w:t>
            </w:r>
            <w:r/>
          </w:p>
        </w:tc>
      </w:tr>
      <w:tr>
        <w:tblPrEx/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1100015430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1100015430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60,0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Учреждения, обеспечивающие предоставление услуг в сфере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40 116,4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40 116,4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33 427,2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33 427,2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2 755,0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2 755,0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3 934,2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3 934,2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26 231,1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21876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4355,1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0500007010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0,0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Расходы на содержание, обеспечение деятельности и мероприятия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9 187,6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7656,4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1531,2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9 187,6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7656,4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1531,2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16 943,5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14119,6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2823,9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16 943,5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14119,6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2823,9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ОБСЛУЖИВАНИЕ ГОСУДАРСТВЕННОГО (МУНИЦИПАЛЬНОГО)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Обслуживание государственного (муниципального) внутреннего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4 817,5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138095,9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138095,9</w:t>
            </w:r>
            <w:r/>
          </w:p>
        </w:tc>
      </w:tr>
      <w:tr>
        <w:tblPrEx/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Расчет и предоставление дотаций бюджетам поселений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Дотации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129 663,3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Прочие межбюджетные трансферты общего характера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8432,6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8432,6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1500015410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20,0</w:t>
            </w:r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295</w:t>
            </w:r>
            <w:r/>
          </w:p>
        </w:tc>
      </w:tr>
      <w:tr>
        <w:tblPrEx/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8 117,6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8 117,6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9900070510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8 117,6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8 117,6</w:t>
            </w:r>
            <w:r/>
          </w:p>
        </w:tc>
      </w:tr>
      <w:tr>
        <w:tblPrEx/>
        <w:trPr>
          <w:trHeight w:val="270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Итого расходов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2 389 378,7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38497,5</w:t>
            </w:r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2985,8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2424890,4</w:t>
            </w:r>
            <w:r/>
          </w:p>
        </w:tc>
      </w:tr>
    </w:tbl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imbus Roman">
    <w:panose1 w:val="00000500000000000000"/>
  </w:font>
  <w:font w:name="Wingdings">
    <w:panose1 w:val="05010000000000000000"/>
  </w:font>
  <w:font w:name="Symbol">
    <w:panose1 w:val="05010000000000000000"/>
  </w:font>
  <w:font w:name="Calibri Light">
    <w:panose1 w:val="020F05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4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4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4" w:hanging="180"/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2">
    <w:name w:val="Heading 1"/>
    <w:basedOn w:val="950"/>
    <w:next w:val="950"/>
    <w:link w:val="7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3">
    <w:name w:val="Heading 1 Char"/>
    <w:link w:val="772"/>
    <w:uiPriority w:val="9"/>
    <w:rPr>
      <w:rFonts w:ascii="Arial" w:hAnsi="Arial" w:eastAsia="Arial" w:cs="Arial"/>
      <w:sz w:val="40"/>
      <w:szCs w:val="40"/>
    </w:rPr>
  </w:style>
  <w:style w:type="paragraph" w:styleId="774">
    <w:name w:val="Heading 2"/>
    <w:basedOn w:val="950"/>
    <w:next w:val="950"/>
    <w:link w:val="7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5">
    <w:name w:val="Heading 2 Char"/>
    <w:link w:val="774"/>
    <w:uiPriority w:val="9"/>
    <w:rPr>
      <w:rFonts w:ascii="Arial" w:hAnsi="Arial" w:eastAsia="Arial" w:cs="Arial"/>
      <w:sz w:val="34"/>
    </w:rPr>
  </w:style>
  <w:style w:type="paragraph" w:styleId="776">
    <w:name w:val="Heading 3"/>
    <w:basedOn w:val="950"/>
    <w:next w:val="950"/>
    <w:link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7">
    <w:name w:val="Heading 3 Char"/>
    <w:link w:val="776"/>
    <w:uiPriority w:val="9"/>
    <w:rPr>
      <w:rFonts w:ascii="Arial" w:hAnsi="Arial" w:eastAsia="Arial" w:cs="Arial"/>
      <w:sz w:val="30"/>
      <w:szCs w:val="30"/>
    </w:rPr>
  </w:style>
  <w:style w:type="paragraph" w:styleId="778">
    <w:name w:val="Heading 4"/>
    <w:basedOn w:val="950"/>
    <w:next w:val="950"/>
    <w:link w:val="7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9">
    <w:name w:val="Heading 4 Char"/>
    <w:link w:val="778"/>
    <w:uiPriority w:val="9"/>
    <w:rPr>
      <w:rFonts w:ascii="Arial" w:hAnsi="Arial" w:eastAsia="Arial" w:cs="Arial"/>
      <w:b/>
      <w:bCs/>
      <w:sz w:val="26"/>
      <w:szCs w:val="26"/>
    </w:rPr>
  </w:style>
  <w:style w:type="paragraph" w:styleId="780">
    <w:name w:val="Heading 5"/>
    <w:basedOn w:val="950"/>
    <w:next w:val="950"/>
    <w:link w:val="7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1">
    <w:name w:val="Heading 5 Char"/>
    <w:link w:val="780"/>
    <w:uiPriority w:val="9"/>
    <w:rPr>
      <w:rFonts w:ascii="Arial" w:hAnsi="Arial" w:eastAsia="Arial" w:cs="Arial"/>
      <w:b/>
      <w:bCs/>
      <w:sz w:val="24"/>
      <w:szCs w:val="24"/>
    </w:rPr>
  </w:style>
  <w:style w:type="paragraph" w:styleId="782">
    <w:name w:val="Heading 6"/>
    <w:basedOn w:val="950"/>
    <w:next w:val="950"/>
    <w:link w:val="7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3">
    <w:name w:val="Heading 6 Char"/>
    <w:link w:val="782"/>
    <w:uiPriority w:val="9"/>
    <w:rPr>
      <w:rFonts w:ascii="Arial" w:hAnsi="Arial" w:eastAsia="Arial" w:cs="Arial"/>
      <w:b/>
      <w:bCs/>
      <w:sz w:val="22"/>
      <w:szCs w:val="22"/>
    </w:rPr>
  </w:style>
  <w:style w:type="paragraph" w:styleId="784">
    <w:name w:val="Heading 7"/>
    <w:basedOn w:val="950"/>
    <w:next w:val="950"/>
    <w:link w:val="7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5">
    <w:name w:val="Heading 7 Char"/>
    <w:link w:val="7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6">
    <w:name w:val="Heading 8"/>
    <w:basedOn w:val="950"/>
    <w:next w:val="950"/>
    <w:link w:val="7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7">
    <w:name w:val="Heading 8 Char"/>
    <w:link w:val="786"/>
    <w:uiPriority w:val="9"/>
    <w:rPr>
      <w:rFonts w:ascii="Arial" w:hAnsi="Arial" w:eastAsia="Arial" w:cs="Arial"/>
      <w:i/>
      <w:iCs/>
      <w:sz w:val="22"/>
      <w:szCs w:val="22"/>
    </w:rPr>
  </w:style>
  <w:style w:type="paragraph" w:styleId="788">
    <w:name w:val="Heading 9"/>
    <w:basedOn w:val="950"/>
    <w:next w:val="950"/>
    <w:link w:val="7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9">
    <w:name w:val="Heading 9 Char"/>
    <w:link w:val="788"/>
    <w:uiPriority w:val="9"/>
    <w:rPr>
      <w:rFonts w:ascii="Arial" w:hAnsi="Arial" w:eastAsia="Arial" w:cs="Arial"/>
      <w:i/>
      <w:iCs/>
      <w:sz w:val="21"/>
      <w:szCs w:val="21"/>
    </w:rPr>
  </w:style>
  <w:style w:type="paragraph" w:styleId="790">
    <w:name w:val="List Paragraph"/>
    <w:basedOn w:val="950"/>
    <w:uiPriority w:val="34"/>
    <w:qFormat/>
    <w:pPr>
      <w:contextualSpacing/>
      <w:ind w:left="720"/>
    </w:pPr>
  </w:style>
  <w:style w:type="paragraph" w:styleId="791">
    <w:name w:val="No Spacing"/>
    <w:uiPriority w:val="1"/>
    <w:qFormat/>
    <w:pPr>
      <w:spacing w:before="0" w:after="0" w:line="240" w:lineRule="auto"/>
    </w:pPr>
  </w:style>
  <w:style w:type="paragraph" w:styleId="792">
    <w:name w:val="Title"/>
    <w:basedOn w:val="950"/>
    <w:next w:val="950"/>
    <w:link w:val="7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3">
    <w:name w:val="Title Char"/>
    <w:link w:val="792"/>
    <w:uiPriority w:val="10"/>
    <w:rPr>
      <w:sz w:val="48"/>
      <w:szCs w:val="48"/>
    </w:rPr>
  </w:style>
  <w:style w:type="paragraph" w:styleId="794">
    <w:name w:val="Subtitle"/>
    <w:basedOn w:val="950"/>
    <w:next w:val="950"/>
    <w:link w:val="795"/>
    <w:uiPriority w:val="11"/>
    <w:qFormat/>
    <w:pPr>
      <w:spacing w:before="200" w:after="200"/>
    </w:pPr>
    <w:rPr>
      <w:sz w:val="24"/>
      <w:szCs w:val="24"/>
    </w:rPr>
  </w:style>
  <w:style w:type="character" w:styleId="795">
    <w:name w:val="Subtitle Char"/>
    <w:link w:val="794"/>
    <w:uiPriority w:val="11"/>
    <w:rPr>
      <w:sz w:val="24"/>
      <w:szCs w:val="24"/>
    </w:rPr>
  </w:style>
  <w:style w:type="paragraph" w:styleId="796">
    <w:name w:val="Quote"/>
    <w:basedOn w:val="950"/>
    <w:next w:val="950"/>
    <w:link w:val="797"/>
    <w:uiPriority w:val="29"/>
    <w:qFormat/>
    <w:pPr>
      <w:ind w:left="720" w:right="720"/>
    </w:pPr>
    <w:rPr>
      <w:i/>
    </w:rPr>
  </w:style>
  <w:style w:type="character" w:styleId="797">
    <w:name w:val="Quote Char"/>
    <w:link w:val="796"/>
    <w:uiPriority w:val="29"/>
    <w:rPr>
      <w:i/>
    </w:rPr>
  </w:style>
  <w:style w:type="paragraph" w:styleId="798">
    <w:name w:val="Intense Quote"/>
    <w:basedOn w:val="950"/>
    <w:next w:val="950"/>
    <w:link w:val="7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9">
    <w:name w:val="Intense Quote Char"/>
    <w:link w:val="798"/>
    <w:uiPriority w:val="30"/>
    <w:rPr>
      <w:i/>
    </w:rPr>
  </w:style>
  <w:style w:type="paragraph" w:styleId="800">
    <w:name w:val="Header"/>
    <w:basedOn w:val="950"/>
    <w:link w:val="8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1">
    <w:name w:val="Header Char"/>
    <w:link w:val="800"/>
    <w:uiPriority w:val="99"/>
  </w:style>
  <w:style w:type="paragraph" w:styleId="802">
    <w:name w:val="Footer"/>
    <w:basedOn w:val="950"/>
    <w:link w:val="8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3">
    <w:name w:val="Footer Char"/>
    <w:link w:val="802"/>
    <w:uiPriority w:val="99"/>
  </w:style>
  <w:style w:type="paragraph" w:styleId="804">
    <w:name w:val="Caption"/>
    <w:basedOn w:val="950"/>
    <w:next w:val="950"/>
    <w:link w:val="8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5">
    <w:name w:val="Caption Char"/>
    <w:basedOn w:val="804"/>
    <w:link w:val="802"/>
    <w:uiPriority w:val="99"/>
  </w:style>
  <w:style w:type="table" w:styleId="8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2">
    <w:name w:val="Hyperlink"/>
    <w:uiPriority w:val="99"/>
    <w:unhideWhenUsed/>
    <w:rPr>
      <w:color w:val="0000ff" w:themeColor="hyperlink"/>
      <w:u w:val="single"/>
    </w:rPr>
  </w:style>
  <w:style w:type="paragraph" w:styleId="933">
    <w:name w:val="footnote text"/>
    <w:basedOn w:val="950"/>
    <w:link w:val="934"/>
    <w:uiPriority w:val="99"/>
    <w:semiHidden/>
    <w:unhideWhenUsed/>
    <w:pPr>
      <w:spacing w:after="40" w:line="240" w:lineRule="auto"/>
    </w:pPr>
    <w:rPr>
      <w:sz w:val="18"/>
    </w:rPr>
  </w:style>
  <w:style w:type="character" w:styleId="934">
    <w:name w:val="Footnote Text Char"/>
    <w:link w:val="933"/>
    <w:uiPriority w:val="99"/>
    <w:rPr>
      <w:sz w:val="18"/>
    </w:rPr>
  </w:style>
  <w:style w:type="character" w:styleId="935">
    <w:name w:val="footnote reference"/>
    <w:uiPriority w:val="99"/>
    <w:unhideWhenUsed/>
    <w:rPr>
      <w:vertAlign w:val="superscript"/>
    </w:rPr>
  </w:style>
  <w:style w:type="paragraph" w:styleId="936">
    <w:name w:val="endnote text"/>
    <w:basedOn w:val="950"/>
    <w:link w:val="937"/>
    <w:uiPriority w:val="99"/>
    <w:semiHidden/>
    <w:unhideWhenUsed/>
    <w:pPr>
      <w:spacing w:after="0" w:line="240" w:lineRule="auto"/>
    </w:pPr>
    <w:rPr>
      <w:sz w:val="20"/>
    </w:rPr>
  </w:style>
  <w:style w:type="character" w:styleId="937">
    <w:name w:val="Endnote Text Char"/>
    <w:link w:val="936"/>
    <w:uiPriority w:val="99"/>
    <w:rPr>
      <w:sz w:val="20"/>
    </w:rPr>
  </w:style>
  <w:style w:type="character" w:styleId="938">
    <w:name w:val="endnote reference"/>
    <w:uiPriority w:val="99"/>
    <w:semiHidden/>
    <w:unhideWhenUsed/>
    <w:rPr>
      <w:vertAlign w:val="superscript"/>
    </w:rPr>
  </w:style>
  <w:style w:type="paragraph" w:styleId="939">
    <w:name w:val="toc 1"/>
    <w:basedOn w:val="950"/>
    <w:next w:val="950"/>
    <w:uiPriority w:val="39"/>
    <w:unhideWhenUsed/>
    <w:pPr>
      <w:ind w:left="0" w:right="0" w:firstLine="0"/>
      <w:spacing w:after="57"/>
    </w:pPr>
  </w:style>
  <w:style w:type="paragraph" w:styleId="940">
    <w:name w:val="toc 2"/>
    <w:basedOn w:val="950"/>
    <w:next w:val="950"/>
    <w:uiPriority w:val="39"/>
    <w:unhideWhenUsed/>
    <w:pPr>
      <w:ind w:left="283" w:right="0" w:firstLine="0"/>
      <w:spacing w:after="57"/>
    </w:pPr>
  </w:style>
  <w:style w:type="paragraph" w:styleId="941">
    <w:name w:val="toc 3"/>
    <w:basedOn w:val="950"/>
    <w:next w:val="950"/>
    <w:uiPriority w:val="39"/>
    <w:unhideWhenUsed/>
    <w:pPr>
      <w:ind w:left="567" w:right="0" w:firstLine="0"/>
      <w:spacing w:after="57"/>
    </w:pPr>
  </w:style>
  <w:style w:type="paragraph" w:styleId="942">
    <w:name w:val="toc 4"/>
    <w:basedOn w:val="950"/>
    <w:next w:val="950"/>
    <w:uiPriority w:val="39"/>
    <w:unhideWhenUsed/>
    <w:pPr>
      <w:ind w:left="850" w:right="0" w:firstLine="0"/>
      <w:spacing w:after="57"/>
    </w:pPr>
  </w:style>
  <w:style w:type="paragraph" w:styleId="943">
    <w:name w:val="toc 5"/>
    <w:basedOn w:val="950"/>
    <w:next w:val="950"/>
    <w:uiPriority w:val="39"/>
    <w:unhideWhenUsed/>
    <w:pPr>
      <w:ind w:left="1134" w:right="0" w:firstLine="0"/>
      <w:spacing w:after="57"/>
    </w:pPr>
  </w:style>
  <w:style w:type="paragraph" w:styleId="944">
    <w:name w:val="toc 6"/>
    <w:basedOn w:val="950"/>
    <w:next w:val="950"/>
    <w:uiPriority w:val="39"/>
    <w:unhideWhenUsed/>
    <w:pPr>
      <w:ind w:left="1417" w:right="0" w:firstLine="0"/>
      <w:spacing w:after="57"/>
    </w:pPr>
  </w:style>
  <w:style w:type="paragraph" w:styleId="945">
    <w:name w:val="toc 7"/>
    <w:basedOn w:val="950"/>
    <w:next w:val="950"/>
    <w:uiPriority w:val="39"/>
    <w:unhideWhenUsed/>
    <w:pPr>
      <w:ind w:left="1701" w:right="0" w:firstLine="0"/>
      <w:spacing w:after="57"/>
    </w:pPr>
  </w:style>
  <w:style w:type="paragraph" w:styleId="946">
    <w:name w:val="toc 8"/>
    <w:basedOn w:val="950"/>
    <w:next w:val="950"/>
    <w:uiPriority w:val="39"/>
    <w:unhideWhenUsed/>
    <w:pPr>
      <w:ind w:left="1984" w:right="0" w:firstLine="0"/>
      <w:spacing w:after="57"/>
    </w:pPr>
  </w:style>
  <w:style w:type="paragraph" w:styleId="947">
    <w:name w:val="toc 9"/>
    <w:basedOn w:val="950"/>
    <w:next w:val="950"/>
    <w:uiPriority w:val="39"/>
    <w:unhideWhenUsed/>
    <w:pPr>
      <w:ind w:left="2268" w:right="0" w:firstLine="0"/>
      <w:spacing w:after="57"/>
    </w:pPr>
  </w:style>
  <w:style w:type="paragraph" w:styleId="948">
    <w:name w:val="TOC Heading"/>
    <w:uiPriority w:val="39"/>
    <w:unhideWhenUsed/>
  </w:style>
  <w:style w:type="paragraph" w:styleId="949">
    <w:name w:val="table of figures"/>
    <w:basedOn w:val="950"/>
    <w:next w:val="950"/>
    <w:uiPriority w:val="99"/>
    <w:unhideWhenUsed/>
    <w:pPr>
      <w:spacing w:after="0" w:afterAutospacing="0"/>
    </w:pPr>
  </w:style>
  <w:style w:type="paragraph" w:styleId="950" w:default="1">
    <w:name w:val="Normal"/>
    <w:next w:val="950"/>
    <w:link w:val="950"/>
    <w:qFormat/>
    <w:rPr>
      <w:sz w:val="28"/>
      <w:lang w:val="ru-RU" w:eastAsia="ru-RU" w:bidi="ar-SA"/>
    </w:rPr>
  </w:style>
  <w:style w:type="character" w:styleId="951">
    <w:name w:val="Основной шрифт абзаца"/>
    <w:next w:val="951"/>
    <w:link w:val="950"/>
    <w:semiHidden/>
  </w:style>
  <w:style w:type="table" w:styleId="952">
    <w:name w:val="Обычная таблица"/>
    <w:next w:val="952"/>
    <w:link w:val="950"/>
    <w:semiHidden/>
    <w:tblPr/>
  </w:style>
  <w:style w:type="numbering" w:styleId="953">
    <w:name w:val="Нет списка"/>
    <w:next w:val="953"/>
    <w:link w:val="950"/>
    <w:uiPriority w:val="99"/>
    <w:semiHidden/>
  </w:style>
  <w:style w:type="paragraph" w:styleId="954">
    <w:name w:val="Знак"/>
    <w:basedOn w:val="950"/>
    <w:next w:val="954"/>
    <w:link w:val="950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5">
    <w:name w:val="Основной текст, Знак, Знак1 Знак,Основной текст1,bt,Основной текст Знак,Знак1 Знак"/>
    <w:basedOn w:val="950"/>
    <w:next w:val="955"/>
    <w:link w:val="956"/>
    <w:pPr>
      <w:jc w:val="both"/>
    </w:pPr>
  </w:style>
  <w:style w:type="character" w:styleId="956">
    <w:name w:val="Основной текст Знак1, Знак Знак, Знак1 Знак Знак,Основной текст1 Знак,bt Знак,Основной текст Знак Знак,Знак1 Знак Знак,Знак Знак"/>
    <w:next w:val="956"/>
    <w:link w:val="955"/>
    <w:rPr>
      <w:sz w:val="28"/>
      <w:lang w:val="ru-RU" w:eastAsia="ru-RU" w:bidi="ar-SA"/>
    </w:rPr>
  </w:style>
  <w:style w:type="table" w:styleId="957">
    <w:name w:val="Сетка таблицы"/>
    <w:basedOn w:val="952"/>
    <w:next w:val="957"/>
    <w:link w:val="950"/>
    <w:uiPriority w:val="39"/>
    <w:tblPr/>
  </w:style>
  <w:style w:type="paragraph" w:styleId="958">
    <w:name w:val="Верхний колонтитул"/>
    <w:basedOn w:val="950"/>
    <w:next w:val="958"/>
    <w:link w:val="974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59">
    <w:name w:val="Основной текст с отступом 2"/>
    <w:basedOn w:val="950"/>
    <w:next w:val="959"/>
    <w:link w:val="950"/>
    <w:pPr>
      <w:ind w:left="283"/>
      <w:spacing w:after="120" w:line="480" w:lineRule="auto"/>
    </w:pPr>
    <w:rPr>
      <w:sz w:val="24"/>
      <w:szCs w:val="24"/>
    </w:rPr>
  </w:style>
  <w:style w:type="paragraph" w:styleId="960">
    <w:name w:val="Заголовок,Название"/>
    <w:basedOn w:val="950"/>
    <w:next w:val="960"/>
    <w:link w:val="972"/>
    <w:uiPriority w:val="10"/>
    <w:qFormat/>
    <w:pPr>
      <w:jc w:val="center"/>
    </w:pPr>
    <w:rPr>
      <w:b/>
      <w:sz w:val="24"/>
    </w:rPr>
  </w:style>
  <w:style w:type="paragraph" w:styleId="961">
    <w:name w:val="ConsNormal"/>
    <w:next w:val="961"/>
    <w:link w:val="950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62">
    <w:name w:val="Нижний колонтитул"/>
    <w:basedOn w:val="950"/>
    <w:next w:val="962"/>
    <w:link w:val="973"/>
    <w:uiPriority w:val="99"/>
    <w:pPr>
      <w:tabs>
        <w:tab w:val="center" w:pos="4677" w:leader="none"/>
        <w:tab w:val="right" w:pos="9355" w:leader="none"/>
      </w:tabs>
    </w:pPr>
  </w:style>
  <w:style w:type="character" w:styleId="963">
    <w:name w:val="Номер страницы"/>
    <w:basedOn w:val="951"/>
    <w:next w:val="963"/>
    <w:link w:val="950"/>
  </w:style>
  <w:style w:type="paragraph" w:styleId="964">
    <w:name w:val="ConsNonformat"/>
    <w:next w:val="964"/>
    <w:link w:val="950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65">
    <w:name w:val="ConsTitle"/>
    <w:next w:val="965"/>
    <w:link w:val="950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66">
    <w:name w:val="Normal1"/>
    <w:next w:val="966"/>
    <w:link w:val="950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67">
    <w:name w:val="ConsPlusNormal"/>
    <w:next w:val="967"/>
    <w:link w:val="1014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68">
    <w:name w:val="ConsPlusNonformat"/>
    <w:next w:val="968"/>
    <w:link w:val="950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69">
    <w:name w:val="ConsPlusTitle"/>
    <w:next w:val="969"/>
    <w:link w:val="950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70">
    <w:name w:val="Оглавление 2"/>
    <w:basedOn w:val="950"/>
    <w:next w:val="950"/>
    <w:link w:val="950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71">
    <w:name w:val=" Знак Знак1 Знак Знак"/>
    <w:basedOn w:val="950"/>
    <w:next w:val="971"/>
    <w:link w:val="95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72">
    <w:name w:val="Название Знак"/>
    <w:next w:val="972"/>
    <w:link w:val="960"/>
    <w:rPr>
      <w:b/>
      <w:sz w:val="24"/>
    </w:rPr>
  </w:style>
  <w:style w:type="character" w:styleId="973">
    <w:name w:val="Нижний колонтитул Знак"/>
    <w:next w:val="973"/>
    <w:link w:val="962"/>
    <w:uiPriority w:val="99"/>
    <w:rPr>
      <w:sz w:val="28"/>
    </w:rPr>
  </w:style>
  <w:style w:type="character" w:styleId="974">
    <w:name w:val="Верхний колонтитул Знак"/>
    <w:next w:val="974"/>
    <w:link w:val="958"/>
    <w:uiPriority w:val="99"/>
    <w:rPr>
      <w:sz w:val="28"/>
      <w:szCs w:val="28"/>
    </w:rPr>
  </w:style>
  <w:style w:type="paragraph" w:styleId="975">
    <w:name w:val="Текст выноски"/>
    <w:basedOn w:val="950"/>
    <w:next w:val="975"/>
    <w:link w:val="976"/>
    <w:rPr>
      <w:rFonts w:ascii="Tahoma" w:hAnsi="Tahoma" w:cs="Tahoma"/>
      <w:sz w:val="16"/>
      <w:szCs w:val="16"/>
    </w:rPr>
  </w:style>
  <w:style w:type="character" w:styleId="976">
    <w:name w:val="Текст выноски Знак"/>
    <w:next w:val="976"/>
    <w:link w:val="975"/>
    <w:rPr>
      <w:rFonts w:ascii="Tahoma" w:hAnsi="Tahoma" w:cs="Tahoma"/>
      <w:sz w:val="16"/>
      <w:szCs w:val="16"/>
    </w:rPr>
  </w:style>
  <w:style w:type="paragraph" w:styleId="977">
    <w:name w:val="Знак Знак1 Знак Знак"/>
    <w:basedOn w:val="950"/>
    <w:next w:val="977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8">
    <w:name w:val=" Знак Знак1 Знак Знак Знак Знак"/>
    <w:basedOn w:val="950"/>
    <w:next w:val="978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9">
    <w:name w:val=" Знак Знак1"/>
    <w:basedOn w:val="950"/>
    <w:next w:val="979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0">
    <w:name w:val=" Знак Знак1 Знак Знак Знак Знак Знак Знак Знак Знак"/>
    <w:basedOn w:val="950"/>
    <w:next w:val="980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1">
    <w:name w:val=" Знак Знак4"/>
    <w:basedOn w:val="950"/>
    <w:next w:val="981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82">
    <w:name w:val="Выделение"/>
    <w:next w:val="982"/>
    <w:link w:val="950"/>
    <w:qFormat/>
    <w:rPr>
      <w:rFonts w:cs="Times New Roman"/>
      <w:i/>
      <w:iCs/>
    </w:rPr>
  </w:style>
  <w:style w:type="paragraph" w:styleId="983">
    <w:name w:val=" Знак Знак4 Знак Знак Знак Знак1 Знак Знак Знак Знак"/>
    <w:basedOn w:val="950"/>
    <w:next w:val="983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4">
    <w:name w:val=" Знак Знак4 Знак Знак Знак Знак"/>
    <w:basedOn w:val="950"/>
    <w:next w:val="984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5">
    <w:name w:val=" Знак Знак4 Знак Знак"/>
    <w:basedOn w:val="950"/>
    <w:next w:val="985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6">
    <w:name w:val=" Знак Знак4 Знак Знак Знак Знак1"/>
    <w:basedOn w:val="950"/>
    <w:next w:val="986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7">
    <w:name w:val=" Знак Знак5"/>
    <w:basedOn w:val="950"/>
    <w:next w:val="987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8">
    <w:name w:val="Знак Знак Знак2 Знак"/>
    <w:basedOn w:val="950"/>
    <w:next w:val="988"/>
    <w:link w:val="950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89">
    <w:name w:val="1"/>
    <w:basedOn w:val="950"/>
    <w:next w:val="989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90">
    <w:name w:val="Знак примечания"/>
    <w:next w:val="990"/>
    <w:link w:val="950"/>
    <w:uiPriority w:val="99"/>
    <w:unhideWhenUsed/>
    <w:rPr>
      <w:sz w:val="16"/>
      <w:szCs w:val="16"/>
    </w:rPr>
  </w:style>
  <w:style w:type="character" w:styleId="991">
    <w:name w:val="Основной текст (2)_"/>
    <w:next w:val="991"/>
    <w:link w:val="992"/>
    <w:rPr>
      <w:sz w:val="26"/>
      <w:szCs w:val="26"/>
      <w:shd w:val="clear" w:color="auto" w:fill="ffffff"/>
    </w:rPr>
  </w:style>
  <w:style w:type="paragraph" w:styleId="992">
    <w:name w:val="Основной текст (2)"/>
    <w:basedOn w:val="950"/>
    <w:next w:val="992"/>
    <w:link w:val="991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93">
    <w:name w:val="Абзац списка"/>
    <w:basedOn w:val="950"/>
    <w:next w:val="993"/>
    <w:link w:val="950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94">
    <w:name w:val="Текст примечания"/>
    <w:basedOn w:val="950"/>
    <w:next w:val="994"/>
    <w:link w:val="995"/>
    <w:rPr>
      <w:sz w:val="20"/>
    </w:rPr>
  </w:style>
  <w:style w:type="character" w:styleId="995">
    <w:name w:val="Текст примечания Знак"/>
    <w:basedOn w:val="951"/>
    <w:next w:val="995"/>
    <w:link w:val="994"/>
  </w:style>
  <w:style w:type="paragraph" w:styleId="996">
    <w:name w:val="Тема примечания"/>
    <w:basedOn w:val="994"/>
    <w:next w:val="994"/>
    <w:link w:val="997"/>
    <w:rPr>
      <w:b/>
      <w:bCs/>
    </w:rPr>
  </w:style>
  <w:style w:type="character" w:styleId="997">
    <w:name w:val="Тема примечания Знак"/>
    <w:next w:val="997"/>
    <w:link w:val="996"/>
    <w:rPr>
      <w:b/>
      <w:bCs/>
    </w:rPr>
  </w:style>
  <w:style w:type="numbering" w:styleId="998">
    <w:name w:val="Нет списка1"/>
    <w:next w:val="953"/>
    <w:link w:val="950"/>
    <w:uiPriority w:val="99"/>
    <w:semiHidden/>
    <w:unhideWhenUsed/>
  </w:style>
  <w:style w:type="numbering" w:styleId="999">
    <w:name w:val="Нет списка11"/>
    <w:next w:val="953"/>
    <w:link w:val="950"/>
    <w:semiHidden/>
  </w:style>
  <w:style w:type="paragraph" w:styleId="1000">
    <w:name w:val="Обычный1"/>
    <w:next w:val="1000"/>
    <w:link w:val="950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1001">
    <w:name w:val="Сетка таблицы1"/>
    <w:basedOn w:val="952"/>
    <w:next w:val="957"/>
    <w:link w:val="950"/>
    <w:tblPr/>
  </w:style>
  <w:style w:type="paragraph" w:styleId="1002">
    <w:name w:val="Знак Знак1"/>
    <w:basedOn w:val="950"/>
    <w:next w:val="1002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3">
    <w:name w:val="Знак Знак1 Знак Знак Знак Знак"/>
    <w:basedOn w:val="950"/>
    <w:next w:val="1003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4">
    <w:name w:val="Знак Знак1 Знак Знак Знак Знак Знак Знак Знак Знак"/>
    <w:basedOn w:val="950"/>
    <w:next w:val="1004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5">
    <w:name w:val="Знак Знак4"/>
    <w:basedOn w:val="950"/>
    <w:next w:val="1005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6">
    <w:name w:val="Знак Знак5"/>
    <w:basedOn w:val="950"/>
    <w:next w:val="1006"/>
    <w:link w:val="95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1007">
    <w:name w:val="Нет списка111"/>
    <w:next w:val="953"/>
    <w:link w:val="950"/>
    <w:uiPriority w:val="99"/>
    <w:semiHidden/>
    <w:unhideWhenUsed/>
  </w:style>
  <w:style w:type="character" w:styleId="1008">
    <w:name w:val="Заголовок Знак"/>
    <w:next w:val="1008"/>
    <w:link w:val="950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1009">
    <w:name w:val="Нет списка2"/>
    <w:next w:val="953"/>
    <w:link w:val="950"/>
    <w:semiHidden/>
  </w:style>
  <w:style w:type="numbering" w:styleId="1010">
    <w:name w:val="Нет списка12"/>
    <w:next w:val="953"/>
    <w:link w:val="950"/>
    <w:uiPriority w:val="99"/>
    <w:semiHidden/>
    <w:unhideWhenUsed/>
  </w:style>
  <w:style w:type="numbering" w:styleId="1011">
    <w:name w:val="Нет списка3"/>
    <w:next w:val="953"/>
    <w:link w:val="950"/>
    <w:semiHidden/>
  </w:style>
  <w:style w:type="paragraph" w:styleId="1012">
    <w:name w:val="Обычный2"/>
    <w:next w:val="1012"/>
    <w:link w:val="950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1013">
    <w:name w:val="Сетка таблицы2"/>
    <w:basedOn w:val="952"/>
    <w:next w:val="957"/>
    <w:link w:val="950"/>
    <w:tblPr/>
  </w:style>
  <w:style w:type="character" w:styleId="1014">
    <w:name w:val="ConsPlusNormal Знак"/>
    <w:next w:val="1014"/>
    <w:link w:val="967"/>
    <w:rPr>
      <w:rFonts w:ascii="Arial" w:hAnsi="Arial" w:cs="Arial"/>
    </w:rPr>
  </w:style>
  <w:style w:type="character" w:styleId="1015">
    <w:name w:val="Гиперссылка"/>
    <w:next w:val="1015"/>
    <w:link w:val="950"/>
    <w:uiPriority w:val="99"/>
    <w:unhideWhenUsed/>
    <w:rPr>
      <w:color w:val="0563c1"/>
      <w:u w:val="single"/>
    </w:rPr>
  </w:style>
  <w:style w:type="character" w:styleId="1016">
    <w:name w:val="Просмотренная гиперссылка"/>
    <w:next w:val="1016"/>
    <w:link w:val="950"/>
    <w:uiPriority w:val="99"/>
    <w:unhideWhenUsed/>
    <w:rPr>
      <w:color w:val="954f72"/>
      <w:u w:val="single"/>
    </w:rPr>
  </w:style>
  <w:style w:type="paragraph" w:styleId="1017">
    <w:name w:val="msonormal"/>
    <w:basedOn w:val="950"/>
    <w:next w:val="1017"/>
    <w:link w:val="950"/>
    <w:pPr>
      <w:spacing w:before="100" w:beforeAutospacing="1" w:after="100" w:afterAutospacing="1"/>
    </w:pPr>
    <w:rPr>
      <w:sz w:val="24"/>
      <w:szCs w:val="24"/>
    </w:rPr>
  </w:style>
  <w:style w:type="paragraph" w:styleId="1018">
    <w:name w:val="font5"/>
    <w:basedOn w:val="950"/>
    <w:next w:val="1018"/>
    <w:link w:val="950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1019">
    <w:name w:val="xl66"/>
    <w:basedOn w:val="950"/>
    <w:next w:val="1019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0">
    <w:name w:val="xl67"/>
    <w:basedOn w:val="950"/>
    <w:next w:val="1020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21">
    <w:name w:val="xl68"/>
    <w:basedOn w:val="950"/>
    <w:next w:val="1021"/>
    <w:link w:val="95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22">
    <w:name w:val="xl69"/>
    <w:basedOn w:val="950"/>
    <w:next w:val="1022"/>
    <w:link w:val="95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3">
    <w:name w:val="xl70"/>
    <w:basedOn w:val="950"/>
    <w:next w:val="1023"/>
    <w:link w:val="950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4">
    <w:name w:val="xl71"/>
    <w:basedOn w:val="950"/>
    <w:next w:val="1024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5">
    <w:name w:val="xl72"/>
    <w:basedOn w:val="950"/>
    <w:next w:val="1025"/>
    <w:link w:val="950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1026">
    <w:name w:val="xl73"/>
    <w:basedOn w:val="950"/>
    <w:next w:val="1026"/>
    <w:link w:val="950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7">
    <w:name w:val="xl74"/>
    <w:basedOn w:val="950"/>
    <w:next w:val="1027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8">
    <w:name w:val="xl75"/>
    <w:basedOn w:val="950"/>
    <w:next w:val="1028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9">
    <w:name w:val="xl76"/>
    <w:basedOn w:val="950"/>
    <w:next w:val="1029"/>
    <w:link w:val="950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0">
    <w:name w:val="xl77"/>
    <w:basedOn w:val="950"/>
    <w:next w:val="1030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1">
    <w:name w:val="xl78"/>
    <w:basedOn w:val="950"/>
    <w:next w:val="1031"/>
    <w:link w:val="95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2">
    <w:name w:val="xl79"/>
    <w:basedOn w:val="950"/>
    <w:next w:val="1032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3">
    <w:name w:val="xl80"/>
    <w:basedOn w:val="950"/>
    <w:next w:val="1033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34">
    <w:name w:val="xl81"/>
    <w:basedOn w:val="950"/>
    <w:next w:val="1034"/>
    <w:link w:val="95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35">
    <w:name w:val="xl82"/>
    <w:basedOn w:val="950"/>
    <w:next w:val="1035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36">
    <w:name w:val="xl83"/>
    <w:basedOn w:val="950"/>
    <w:next w:val="1036"/>
    <w:link w:val="95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7">
    <w:name w:val="xl84"/>
    <w:basedOn w:val="950"/>
    <w:next w:val="1037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38">
    <w:name w:val="xl85"/>
    <w:basedOn w:val="950"/>
    <w:next w:val="1038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39">
    <w:name w:val="xl86"/>
    <w:basedOn w:val="950"/>
    <w:next w:val="1039"/>
    <w:link w:val="95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0">
    <w:name w:val="xl87"/>
    <w:basedOn w:val="950"/>
    <w:next w:val="1040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1">
    <w:name w:val="xl88"/>
    <w:basedOn w:val="950"/>
    <w:next w:val="1041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2">
    <w:name w:val="xl89"/>
    <w:basedOn w:val="950"/>
    <w:next w:val="1042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3">
    <w:name w:val="xl90"/>
    <w:basedOn w:val="950"/>
    <w:next w:val="1043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4">
    <w:name w:val="xl91"/>
    <w:basedOn w:val="950"/>
    <w:next w:val="1044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5">
    <w:name w:val="xl92"/>
    <w:basedOn w:val="950"/>
    <w:next w:val="1045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6">
    <w:name w:val="xl93"/>
    <w:basedOn w:val="950"/>
    <w:next w:val="1046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7">
    <w:name w:val="xl94"/>
    <w:basedOn w:val="950"/>
    <w:next w:val="1047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8">
    <w:name w:val="xl95"/>
    <w:basedOn w:val="950"/>
    <w:next w:val="1048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9">
    <w:name w:val="xl96"/>
    <w:basedOn w:val="950"/>
    <w:next w:val="1049"/>
    <w:link w:val="950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50">
    <w:name w:val="xl97"/>
    <w:basedOn w:val="950"/>
    <w:next w:val="1050"/>
    <w:link w:val="95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1">
    <w:name w:val="xl98"/>
    <w:basedOn w:val="950"/>
    <w:next w:val="1051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2">
    <w:name w:val="xl99"/>
    <w:basedOn w:val="950"/>
    <w:next w:val="1052"/>
    <w:link w:val="95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3">
    <w:name w:val="xl100"/>
    <w:basedOn w:val="950"/>
    <w:next w:val="1053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01"/>
    <w:basedOn w:val="950"/>
    <w:next w:val="1054"/>
    <w:link w:val="95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5">
    <w:name w:val="xl102"/>
    <w:basedOn w:val="950"/>
    <w:next w:val="1055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6">
    <w:name w:val="xl103"/>
    <w:basedOn w:val="950"/>
    <w:next w:val="1056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7">
    <w:name w:val="xl104"/>
    <w:basedOn w:val="950"/>
    <w:next w:val="1057"/>
    <w:link w:val="950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58">
    <w:name w:val="xl105"/>
    <w:basedOn w:val="950"/>
    <w:next w:val="1058"/>
    <w:link w:val="950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9">
    <w:name w:val="xl106"/>
    <w:basedOn w:val="950"/>
    <w:next w:val="1059"/>
    <w:link w:val="950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0">
    <w:name w:val="xl107"/>
    <w:basedOn w:val="950"/>
    <w:next w:val="1060"/>
    <w:link w:val="950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61">
    <w:name w:val="xl108"/>
    <w:basedOn w:val="950"/>
    <w:next w:val="1061"/>
    <w:link w:val="950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62">
    <w:name w:val="xl109"/>
    <w:basedOn w:val="950"/>
    <w:next w:val="1062"/>
    <w:link w:val="95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3">
    <w:name w:val="xl110"/>
    <w:basedOn w:val="950"/>
    <w:next w:val="1063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4">
    <w:name w:val="xl111"/>
    <w:basedOn w:val="950"/>
    <w:next w:val="1064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65">
    <w:name w:val="xl112"/>
    <w:basedOn w:val="950"/>
    <w:next w:val="1065"/>
    <w:link w:val="95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6">
    <w:name w:val="xl113"/>
    <w:basedOn w:val="950"/>
    <w:next w:val="1066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7">
    <w:name w:val="xl114"/>
    <w:basedOn w:val="950"/>
    <w:next w:val="1067"/>
    <w:link w:val="95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8">
    <w:name w:val="xl115"/>
    <w:basedOn w:val="950"/>
    <w:next w:val="1068"/>
    <w:link w:val="95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9">
    <w:name w:val="xl116"/>
    <w:basedOn w:val="950"/>
    <w:next w:val="1069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0">
    <w:name w:val="xl117"/>
    <w:basedOn w:val="950"/>
    <w:next w:val="1070"/>
    <w:link w:val="950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71">
    <w:name w:val="xl118"/>
    <w:basedOn w:val="950"/>
    <w:next w:val="1071"/>
    <w:link w:val="95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2">
    <w:name w:val="xl119"/>
    <w:basedOn w:val="950"/>
    <w:next w:val="1072"/>
    <w:link w:val="95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73">
    <w:name w:val="xl120"/>
    <w:basedOn w:val="950"/>
    <w:next w:val="1073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74">
    <w:name w:val="xl121"/>
    <w:basedOn w:val="950"/>
    <w:next w:val="1074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5">
    <w:name w:val="xl122"/>
    <w:basedOn w:val="950"/>
    <w:next w:val="1075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76">
    <w:name w:val="xl123"/>
    <w:basedOn w:val="950"/>
    <w:next w:val="1076"/>
    <w:link w:val="950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7">
    <w:name w:val="xl124"/>
    <w:basedOn w:val="950"/>
    <w:next w:val="1077"/>
    <w:link w:val="950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8">
    <w:name w:val="xl125"/>
    <w:basedOn w:val="950"/>
    <w:next w:val="1078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79">
    <w:name w:val="xl126"/>
    <w:basedOn w:val="950"/>
    <w:next w:val="1079"/>
    <w:link w:val="95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80">
    <w:name w:val="xl127"/>
    <w:basedOn w:val="950"/>
    <w:next w:val="1080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81">
    <w:name w:val="xl128"/>
    <w:basedOn w:val="950"/>
    <w:next w:val="1081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82">
    <w:name w:val="xl129"/>
    <w:basedOn w:val="950"/>
    <w:next w:val="1082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83">
    <w:name w:val="xl130"/>
    <w:basedOn w:val="950"/>
    <w:next w:val="1083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84">
    <w:name w:val="xl131"/>
    <w:basedOn w:val="950"/>
    <w:next w:val="1084"/>
    <w:link w:val="95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85">
    <w:name w:val="xl132"/>
    <w:basedOn w:val="950"/>
    <w:next w:val="1085"/>
    <w:link w:val="950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86">
    <w:name w:val="xl133"/>
    <w:basedOn w:val="950"/>
    <w:next w:val="1086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87">
    <w:name w:val="xl134"/>
    <w:basedOn w:val="950"/>
    <w:next w:val="1087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88">
    <w:name w:val="xl135"/>
    <w:basedOn w:val="950"/>
    <w:next w:val="1088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89">
    <w:name w:val="xl136"/>
    <w:basedOn w:val="950"/>
    <w:next w:val="1089"/>
    <w:link w:val="95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90">
    <w:name w:val="xl137"/>
    <w:basedOn w:val="950"/>
    <w:next w:val="1090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91">
    <w:name w:val="xl138"/>
    <w:basedOn w:val="950"/>
    <w:next w:val="1091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92">
    <w:name w:val="xl139"/>
    <w:basedOn w:val="950"/>
    <w:next w:val="1092"/>
    <w:link w:val="95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93">
    <w:name w:val="xl140"/>
    <w:basedOn w:val="950"/>
    <w:next w:val="1093"/>
    <w:link w:val="95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94">
    <w:name w:val="xl141"/>
    <w:basedOn w:val="950"/>
    <w:next w:val="1094"/>
    <w:link w:val="95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95">
    <w:name w:val="xl142"/>
    <w:basedOn w:val="950"/>
    <w:next w:val="1095"/>
    <w:link w:val="950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96">
    <w:name w:val="xl143"/>
    <w:basedOn w:val="950"/>
    <w:next w:val="1096"/>
    <w:link w:val="95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97">
    <w:name w:val="xl144"/>
    <w:basedOn w:val="950"/>
    <w:next w:val="1097"/>
    <w:link w:val="950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98">
    <w:name w:val="xl145"/>
    <w:basedOn w:val="950"/>
    <w:next w:val="1098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99">
    <w:name w:val="xl146"/>
    <w:basedOn w:val="950"/>
    <w:next w:val="1099"/>
    <w:link w:val="95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100">
    <w:name w:val="xl147"/>
    <w:basedOn w:val="950"/>
    <w:next w:val="1100"/>
    <w:link w:val="950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101">
    <w:name w:val="xl148"/>
    <w:basedOn w:val="950"/>
    <w:next w:val="1101"/>
    <w:link w:val="950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102">
    <w:name w:val="xl65"/>
    <w:basedOn w:val="950"/>
    <w:next w:val="1102"/>
    <w:link w:val="95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103" w:default="1">
    <w:name w:val="Default Paragraph Font"/>
    <w:uiPriority w:val="1"/>
    <w:semiHidden/>
    <w:unhideWhenUsed/>
  </w:style>
  <w:style w:type="numbering" w:styleId="1104" w:default="1">
    <w:name w:val="No List"/>
    <w:uiPriority w:val="99"/>
    <w:semiHidden/>
    <w:unhideWhenUsed/>
  </w:style>
  <w:style w:type="table" w:styleId="1105" w:default="1">
    <w:name w:val="Normal Table"/>
    <w:uiPriority w:val="99"/>
    <w:semiHidden/>
    <w:unhideWhenUsed/>
    <w:tblPr/>
  </w:style>
  <w:style w:type="paragraph" w:styleId="1106" w:customStyle="1">
    <w:name w:val="docdata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07" w:customStyle="1">
    <w:name w:val="Обычный (веб)1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lastModifiedBy>kibal_gv@mfnso.local</cp:lastModifiedBy>
  <cp:revision>38</cp:revision>
  <dcterms:created xsi:type="dcterms:W3CDTF">2022-02-08T09:52:00Z</dcterms:created>
  <dcterms:modified xsi:type="dcterms:W3CDTF">2026-02-06T04:59:57Z</dcterms:modified>
  <cp:version>1048576</cp:version>
</cp:coreProperties>
</file>